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F64" w:rsidRDefault="009F4F6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F4F64" w:rsidRDefault="009F4F64">
      <w:pPr>
        <w:pStyle w:val="ConsPlusNormal"/>
        <w:jc w:val="both"/>
        <w:outlineLvl w:val="0"/>
      </w:pPr>
    </w:p>
    <w:p w:rsidR="009F4F64" w:rsidRDefault="009F4F64">
      <w:pPr>
        <w:pStyle w:val="ConsPlusTitle"/>
        <w:jc w:val="center"/>
        <w:outlineLvl w:val="0"/>
      </w:pPr>
      <w:r>
        <w:t>МИНИСТЕРСТВО ЗДРАВООХРАНЕНИЯ РОССИЙСКОЙ ФЕДЕРАЦИИ</w:t>
      </w:r>
    </w:p>
    <w:p w:rsidR="009F4F64" w:rsidRDefault="009F4F64">
      <w:pPr>
        <w:pStyle w:val="ConsPlusTitle"/>
        <w:jc w:val="center"/>
      </w:pPr>
    </w:p>
    <w:p w:rsidR="009F4F64" w:rsidRDefault="009F4F64">
      <w:pPr>
        <w:pStyle w:val="ConsPlusTitle"/>
        <w:jc w:val="center"/>
      </w:pPr>
      <w:r>
        <w:t>КЛИНИЧЕСКИЕ РЕКОМЕНДАЦИИ</w:t>
      </w:r>
    </w:p>
    <w:p w:rsidR="009F4F64" w:rsidRDefault="009F4F64">
      <w:pPr>
        <w:pStyle w:val="ConsPlusTitle"/>
        <w:jc w:val="center"/>
      </w:pPr>
    </w:p>
    <w:p w:rsidR="009F4F64" w:rsidRDefault="009F4F64">
      <w:pPr>
        <w:pStyle w:val="ConsPlusTitle"/>
        <w:jc w:val="center"/>
      </w:pPr>
      <w:r>
        <w:t>ЭРИТРАЗМА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 xml:space="preserve">Кодирование по Международной статистической </w:t>
      </w:r>
      <w:hyperlink r:id="rId5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здоровьем: L08.1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Год утверждения (частота пересмотра): 2022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Возрастная категория: Взрослые, Дети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Пересмотр не позднее: 2024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ID: 200</w:t>
      </w:r>
    </w:p>
    <w:p w:rsidR="009F4F64" w:rsidRDefault="009F4F64">
      <w:pPr>
        <w:pStyle w:val="ConsPlusNormal"/>
        <w:ind w:firstLine="540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Разработчик клинической рекомендации</w:t>
      </w:r>
    </w:p>
    <w:p w:rsidR="009F4F64" w:rsidRDefault="009F4F64">
      <w:pPr>
        <w:pStyle w:val="ConsPlusNormal"/>
        <w:ind w:firstLine="540"/>
        <w:jc w:val="both"/>
      </w:pPr>
    </w:p>
    <w:p w:rsidR="009F4F64" w:rsidRDefault="009F4F64">
      <w:pPr>
        <w:pStyle w:val="ConsPlusNormal"/>
        <w:ind w:firstLine="540"/>
        <w:jc w:val="both"/>
      </w:pPr>
      <w:r>
        <w:t xml:space="preserve">- Общероссийская общественная организация "Российское общество </w:t>
      </w:r>
      <w:proofErr w:type="spellStart"/>
      <w:r>
        <w:t>дерматовенерологов</w:t>
      </w:r>
      <w:proofErr w:type="spellEnd"/>
      <w:r>
        <w:t xml:space="preserve"> и косметологов"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Одобрено Научно-практическим Советом Минздрава РФ</w:t>
      </w:r>
    </w:p>
    <w:p w:rsidR="009F4F64" w:rsidRDefault="009F4F64">
      <w:pPr>
        <w:pStyle w:val="ConsPlusNormal"/>
        <w:jc w:val="both"/>
      </w:pPr>
    </w:p>
    <w:p w:rsidR="009F4F64" w:rsidRPr="009F4F64" w:rsidRDefault="009F4F64">
      <w:pPr>
        <w:pStyle w:val="ConsPlusTitle"/>
        <w:ind w:firstLine="540"/>
        <w:jc w:val="both"/>
        <w:outlineLvl w:val="1"/>
        <w:rPr>
          <w:lang w:val="en-US"/>
        </w:rPr>
      </w:pPr>
      <w:r>
        <w:t>Список</w:t>
      </w:r>
      <w:r w:rsidRPr="009F4F64">
        <w:rPr>
          <w:lang w:val="en-US"/>
        </w:rPr>
        <w:t xml:space="preserve"> </w:t>
      </w:r>
      <w:r>
        <w:t>сокращений</w:t>
      </w:r>
    </w:p>
    <w:p w:rsidR="009F4F64" w:rsidRPr="009F4F64" w:rsidRDefault="009F4F64">
      <w:pPr>
        <w:pStyle w:val="ConsPlusNormal"/>
        <w:ind w:firstLine="540"/>
        <w:jc w:val="both"/>
        <w:rPr>
          <w:lang w:val="en-US"/>
        </w:rPr>
      </w:pPr>
    </w:p>
    <w:p w:rsidR="009F4F64" w:rsidRPr="009F4F64" w:rsidRDefault="009F4F64">
      <w:pPr>
        <w:pStyle w:val="ConsPlusNormal"/>
        <w:ind w:firstLine="540"/>
        <w:jc w:val="both"/>
        <w:rPr>
          <w:lang w:val="en-US"/>
        </w:rPr>
      </w:pPr>
      <w:r w:rsidRPr="009F4F64">
        <w:rPr>
          <w:lang w:val="en-US"/>
        </w:rPr>
        <w:t xml:space="preserve">C. </w:t>
      </w:r>
      <w:proofErr w:type="spellStart"/>
      <w:r w:rsidRPr="009F4F64">
        <w:rPr>
          <w:lang w:val="en-US"/>
        </w:rPr>
        <w:t>minutissimum</w:t>
      </w:r>
      <w:proofErr w:type="spellEnd"/>
      <w:r w:rsidRPr="009F4F64">
        <w:rPr>
          <w:lang w:val="en-US"/>
        </w:rPr>
        <w:t xml:space="preserve"> - </w:t>
      </w:r>
      <w:proofErr w:type="spellStart"/>
      <w:r w:rsidRPr="009F4F64">
        <w:rPr>
          <w:lang w:val="en-US"/>
        </w:rPr>
        <w:t>Corynebacterium</w:t>
      </w:r>
      <w:proofErr w:type="spellEnd"/>
      <w:r w:rsidRPr="009F4F64">
        <w:rPr>
          <w:lang w:val="en-US"/>
        </w:rPr>
        <w:t xml:space="preserve"> </w:t>
      </w:r>
      <w:proofErr w:type="spellStart"/>
      <w:r w:rsidRPr="009F4F64">
        <w:rPr>
          <w:lang w:val="en-US"/>
        </w:rPr>
        <w:t>minutissimum</w:t>
      </w:r>
      <w:proofErr w:type="spellEnd"/>
    </w:p>
    <w:p w:rsidR="009F4F64" w:rsidRPr="009F4F64" w:rsidRDefault="009F4F64">
      <w:pPr>
        <w:pStyle w:val="ConsPlusNormal"/>
        <w:jc w:val="both"/>
        <w:rPr>
          <w:lang w:val="en-US"/>
        </w:rPr>
      </w:pPr>
    </w:p>
    <w:p w:rsidR="009F4F64" w:rsidRDefault="009F4F64">
      <w:pPr>
        <w:pStyle w:val="ConsPlusTitle"/>
        <w:ind w:firstLine="540"/>
        <w:jc w:val="both"/>
        <w:outlineLvl w:val="1"/>
      </w:pPr>
      <w:r>
        <w:t>Термины и определения</w:t>
      </w:r>
    </w:p>
    <w:p w:rsidR="009F4F64" w:rsidRDefault="009F4F64">
      <w:pPr>
        <w:pStyle w:val="ConsPlusNormal"/>
        <w:ind w:firstLine="540"/>
        <w:jc w:val="both"/>
      </w:pPr>
    </w:p>
    <w:p w:rsidR="009F4F64" w:rsidRDefault="009F4F64">
      <w:pPr>
        <w:pStyle w:val="ConsPlusNormal"/>
        <w:ind w:firstLine="540"/>
        <w:jc w:val="both"/>
      </w:pPr>
      <w:r>
        <w:t>Лампа Вуда - это диагностическая лампа, излучающая преимущественно в длинноволновой части ультрафиолетового диапазона.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1. Краткая информация по заболеванию или состоянию (группе заболеваний или состояний)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1.1. Определение заболевания или состояния (группы заболеваний или состояний)</w:t>
      </w:r>
    </w:p>
    <w:p w:rsidR="009F4F64" w:rsidRDefault="009F4F64">
      <w:pPr>
        <w:pStyle w:val="ConsPlusNormal"/>
        <w:spacing w:before="220"/>
        <w:ind w:firstLine="540"/>
        <w:jc w:val="both"/>
      </w:pPr>
      <w:proofErr w:type="spellStart"/>
      <w:r>
        <w:t>Эритразма</w:t>
      </w:r>
      <w:proofErr w:type="spellEnd"/>
      <w:r>
        <w:t xml:space="preserve"> - это бактериальное заболевание кожи, возбудителем которого является C. </w:t>
      </w:r>
      <w:proofErr w:type="spellStart"/>
      <w:r>
        <w:t>minutissimum</w:t>
      </w:r>
      <w:proofErr w:type="spellEnd"/>
      <w:r>
        <w:t>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1.2. Этиология и патогенез заболевания или состояния (группы заболеваний или состояний)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Возбудитель </w:t>
      </w:r>
      <w:proofErr w:type="spellStart"/>
      <w:r>
        <w:t>эритразмы</w:t>
      </w:r>
      <w:proofErr w:type="spellEnd"/>
      <w:r>
        <w:t xml:space="preserve"> - грамположительная палочка </w:t>
      </w:r>
      <w:proofErr w:type="spellStart"/>
      <w:r>
        <w:t>Corynebacterium</w:t>
      </w:r>
      <w:proofErr w:type="spellEnd"/>
      <w:r>
        <w:t xml:space="preserve"> </w:t>
      </w:r>
      <w:proofErr w:type="spellStart"/>
      <w:r>
        <w:t>minutissimum</w:t>
      </w:r>
      <w:proofErr w:type="spellEnd"/>
      <w:r>
        <w:t xml:space="preserve">, которая определяется в составе нормальной микрофлоры кожных покровов человека, однако под влиянием предрасполагающих к развитию заболевания факторов микроорганизм проявляет патогенные свойства. Предрасполагающими факторами являются повышенная потливость, повышенная влажность, нарушения иммунитета, сахарный диабет, ожирение, несоблюдение мер личной гигиены </w:t>
      </w:r>
      <w:hyperlink w:anchor="P152">
        <w:r>
          <w:rPr>
            <w:color w:val="0000FF"/>
          </w:rPr>
          <w:t>[1]</w:t>
        </w:r>
      </w:hyperlink>
      <w:r>
        <w:t>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1.3. Эпидемиология заболевания или состояния (группы заболеваний или состояний)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lastRenderedPageBreak/>
        <w:t xml:space="preserve">Заболевание распространено повсеместно, однако наиболее часто встречается в регионах с жарким и влажным климатом. Болеют чаще мужчины. </w:t>
      </w:r>
      <w:proofErr w:type="spellStart"/>
      <w:r>
        <w:t>Контагиозность</w:t>
      </w:r>
      <w:proofErr w:type="spellEnd"/>
      <w:r>
        <w:t xml:space="preserve"> заболевания </w:t>
      </w:r>
      <w:proofErr w:type="gramStart"/>
      <w:r>
        <w:t>невысокая</w:t>
      </w:r>
      <w:proofErr w:type="gramEnd"/>
      <w:r>
        <w:t>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 xml:space="preserve">1.4. Особенности кодирования заболевания или состояния (группы заболеваний или состояний) по Международной статистической </w:t>
      </w:r>
      <w:hyperlink r:id="rId6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Другие местные инфекции кожи и подкожной клетчатки (L08):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L08.1 - </w:t>
      </w:r>
      <w:proofErr w:type="spellStart"/>
      <w:r>
        <w:t>Эритразма</w:t>
      </w:r>
      <w:proofErr w:type="spellEnd"/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1.5. Классификация заболевания или состояния (группы заболеваний или состояний)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Отсутствует.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1.6. Клиническая картина заболевания или состояния (группы заболеваний или состояний)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Высыпания чаще всего локализуются на коже пахово-бедренных складок и примыкающей к ним коже бедер и в подмышечной области, возможно поражение кожи складок под молочными железами, живота и межпальцевых складок стоп.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Высыпания имеют вид красновато-коричневых и кирпично-красных пятен с четкими границами, которые, сливаясь, образуют крупные очаги поражения с фестончатыми очертаниями. В межпальцевых складках отмечаются длительно существующие мацерация, шелушение, трещины.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В лучах лампы Вуда в очагах поражения при </w:t>
      </w:r>
      <w:proofErr w:type="spellStart"/>
      <w:r>
        <w:t>эритразме</w:t>
      </w:r>
      <w:proofErr w:type="spellEnd"/>
      <w:r>
        <w:t xml:space="preserve"> проявляется кораллово-красное свечение.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Заболевание может сопровождаться зудом.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Критерии установления диагноза: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Диагноз устанавливается на основании визуального исследования кожи и при необходимости подтверждается результатами лабораторных (микроскопическое исследование соскоба с кожи) и/или инструментальных (люминесцентная диагностика - осмотр под лампой Вуда) методов исследования: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2.1. Жалобы и анамнез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Пациенты могут предъявлять жалобы на зуд.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 xml:space="preserve">2.2. </w:t>
      </w:r>
      <w:proofErr w:type="spellStart"/>
      <w:r>
        <w:t>Физикальное</w:t>
      </w:r>
      <w:proofErr w:type="spellEnd"/>
      <w:r>
        <w:t xml:space="preserve"> обследование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- Рекомендуется для установления клинических признаков заболевания визуальное исследование кожи </w:t>
      </w:r>
      <w:hyperlink w:anchor="P152">
        <w:r>
          <w:rPr>
            <w:color w:val="0000FF"/>
          </w:rPr>
          <w:t>[1]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Комментарии: определяются локализация высыпаний и их характер.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2.3. Лабораторные диагностические исследования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lastRenderedPageBreak/>
        <w:t xml:space="preserve">- Рекомендуется микроскопическое исследование соскоба кожи для обнаружения возбудителя </w:t>
      </w:r>
      <w:hyperlink w:anchor="P152">
        <w:r>
          <w:rPr>
            <w:color w:val="0000FF"/>
          </w:rPr>
          <w:t>[1]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Комментарии: при микроскопическом исследовании соскоба с кожи, предварительно окрашенного по </w:t>
      </w:r>
      <w:proofErr w:type="spellStart"/>
      <w:r>
        <w:t>Граму</w:t>
      </w:r>
      <w:proofErr w:type="spellEnd"/>
      <w:r>
        <w:t xml:space="preserve">, обнаруживаются грамположительные изогнутые палочки C. </w:t>
      </w:r>
      <w:proofErr w:type="spellStart"/>
      <w:r>
        <w:t>minutissimum</w:t>
      </w:r>
      <w:proofErr w:type="spellEnd"/>
      <w:r>
        <w:t>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2.4. Инструментальные диагностические исследования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- Рекомендуется люминесцентная диагностика (осмотр под лампой Вуда) </w:t>
      </w:r>
      <w:hyperlink w:anchor="P152">
        <w:r>
          <w:rPr>
            <w:color w:val="0000FF"/>
          </w:rPr>
          <w:t>[1]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Комментарии: при осмотре под лампой Вуда обнаруживается характерное для </w:t>
      </w:r>
      <w:proofErr w:type="spellStart"/>
      <w:r>
        <w:t>эритразмы</w:t>
      </w:r>
      <w:proofErr w:type="spellEnd"/>
      <w:r>
        <w:t xml:space="preserve"> кораллово-красное или кирпично-красное свечение, обусловленное продукцией </w:t>
      </w:r>
      <w:proofErr w:type="spellStart"/>
      <w:r>
        <w:t>порфиринов</w:t>
      </w:r>
      <w:proofErr w:type="spellEnd"/>
      <w:r>
        <w:t xml:space="preserve"> возбудителем заболевания C. </w:t>
      </w:r>
      <w:proofErr w:type="spellStart"/>
      <w:r>
        <w:t>minutissimum</w:t>
      </w:r>
      <w:proofErr w:type="spellEnd"/>
      <w:r>
        <w:t>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2.5. Иные диагностические исследования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Не применяются.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 xml:space="preserve">3. Лечение, включая медикаментозную и </w:t>
      </w:r>
      <w:proofErr w:type="spellStart"/>
      <w:r>
        <w:t>немедикаментозную</w:t>
      </w:r>
      <w:proofErr w:type="spellEnd"/>
      <w:r>
        <w:t xml:space="preserve"> терапии, диетотерапию, обезболивание, медицинские показания и противопоказания к применению методов лечения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3.1. Консервативное лечение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Для лечения пациентов с </w:t>
      </w:r>
      <w:proofErr w:type="spellStart"/>
      <w:r>
        <w:t>эритразмой</w:t>
      </w:r>
      <w:proofErr w:type="spellEnd"/>
      <w:r>
        <w:t xml:space="preserve"> может назначаться как наружная, так и системная терапия. Для наружной терапии используются прочие антибактериальные препараты для местного применения (</w:t>
      </w:r>
      <w:proofErr w:type="spellStart"/>
      <w:r>
        <w:t>фузидовая</w:t>
      </w:r>
      <w:proofErr w:type="spellEnd"/>
      <w:r>
        <w:t xml:space="preserve"> кислота), противомикробные препараты для лечения угревой сыпи (#</w:t>
      </w:r>
      <w:proofErr w:type="spellStart"/>
      <w:r>
        <w:t>эритромицин</w:t>
      </w:r>
      <w:proofErr w:type="spellEnd"/>
      <w:r>
        <w:t>), противогрибковые препараты для местного применения (</w:t>
      </w:r>
      <w:proofErr w:type="spellStart"/>
      <w:r>
        <w:t>бифоназол</w:t>
      </w:r>
      <w:proofErr w:type="spellEnd"/>
      <w:r>
        <w:t xml:space="preserve">, </w:t>
      </w:r>
      <w:proofErr w:type="spellStart"/>
      <w:r>
        <w:t>циклопирокс</w:t>
      </w:r>
      <w:proofErr w:type="spellEnd"/>
      <w:r>
        <w:t xml:space="preserve">, </w:t>
      </w:r>
      <w:proofErr w:type="spellStart"/>
      <w:r>
        <w:t>изоконазол</w:t>
      </w:r>
      <w:proofErr w:type="spellEnd"/>
      <w:r>
        <w:t>), при интенсивном зуде - кортикостероиды сильные в комбинации с другими препаратами (</w:t>
      </w:r>
      <w:proofErr w:type="spellStart"/>
      <w:r>
        <w:t>дифлукортолон</w:t>
      </w:r>
      <w:proofErr w:type="spellEnd"/>
      <w:r>
        <w:t xml:space="preserve"> + </w:t>
      </w:r>
      <w:proofErr w:type="spellStart"/>
      <w:r>
        <w:t>изоконазол</w:t>
      </w:r>
      <w:proofErr w:type="spellEnd"/>
      <w:r>
        <w:t xml:space="preserve">). В случае поражения гладкой кожи пациентам с </w:t>
      </w:r>
      <w:proofErr w:type="spellStart"/>
      <w:r>
        <w:t>эритразмой</w:t>
      </w:r>
      <w:proofErr w:type="spellEnd"/>
      <w:r>
        <w:t xml:space="preserve"> показана системная терапия с использованием антибактериальных препаратов системного действия (</w:t>
      </w:r>
      <w:proofErr w:type="spellStart"/>
      <w:r>
        <w:t>эритромицин</w:t>
      </w:r>
      <w:proofErr w:type="spellEnd"/>
      <w:r>
        <w:t>, тетрациклин).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- Рекомендуется при локализации очагов поражения в складках кожи наружное применение прочих антибактериальных препаратов для местного применения, противомикробных препаратов для лечения угревой сыпи, противогрибковых препаратов для местного применения:</w:t>
      </w:r>
    </w:p>
    <w:p w:rsidR="009F4F64" w:rsidRDefault="009F4F64">
      <w:pPr>
        <w:pStyle w:val="ConsPlusNormal"/>
        <w:spacing w:before="220"/>
        <w:ind w:firstLine="540"/>
        <w:jc w:val="both"/>
      </w:pPr>
      <w:proofErr w:type="spellStart"/>
      <w:r>
        <w:t>фузидовая</w:t>
      </w:r>
      <w:proofErr w:type="spellEnd"/>
      <w:r>
        <w:t xml:space="preserve"> кислота, крем 2% наружно 3 - 4 раза в сутки в течение 2 недель </w:t>
      </w:r>
      <w:hyperlink w:anchor="P153">
        <w:r>
          <w:rPr>
            <w:color w:val="0000FF"/>
          </w:rPr>
          <w:t>[2]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28">
        <w:r>
          <w:rPr>
            <w:color w:val="0000FF"/>
          </w:rPr>
          <w:t>B</w:t>
        </w:r>
      </w:hyperlink>
      <w:r>
        <w:t xml:space="preserve"> (уровень достоверности доказательств - 2)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или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#</w:t>
      </w:r>
      <w:proofErr w:type="spellStart"/>
      <w:r>
        <w:t>эритромицин</w:t>
      </w:r>
      <w:proofErr w:type="spellEnd"/>
      <w:r>
        <w:t xml:space="preserve"> 5% мазь 2 раза в сутки наружно, втирать в очаги поражения в течение 7 дней </w:t>
      </w:r>
      <w:hyperlink w:anchor="P154">
        <w:r>
          <w:rPr>
            <w:color w:val="0000FF"/>
          </w:rPr>
          <w:t>[3]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или</w:t>
      </w:r>
    </w:p>
    <w:p w:rsidR="009F4F64" w:rsidRDefault="009F4F64">
      <w:pPr>
        <w:pStyle w:val="ConsPlusNormal"/>
        <w:spacing w:before="220"/>
        <w:ind w:firstLine="540"/>
        <w:jc w:val="both"/>
      </w:pPr>
      <w:proofErr w:type="spellStart"/>
      <w:r>
        <w:t>бифоназол</w:t>
      </w:r>
      <w:proofErr w:type="spellEnd"/>
      <w:r>
        <w:t xml:space="preserve"> крем 1 раза в сутки наружно на очаги поражения в течение 2 недель [</w:t>
      </w:r>
      <w:hyperlink w:anchor="P155">
        <w:r>
          <w:rPr>
            <w:color w:val="0000FF"/>
          </w:rPr>
          <w:t>4</w:t>
        </w:r>
      </w:hyperlink>
      <w:r>
        <w:t xml:space="preserve">, </w:t>
      </w:r>
      <w:hyperlink w:anchor="P163">
        <w:r>
          <w:rPr>
            <w:color w:val="0000FF"/>
          </w:rPr>
          <w:t>12</w:t>
        </w:r>
      </w:hyperlink>
      <w:r>
        <w:t xml:space="preserve">, </w:t>
      </w:r>
      <w:hyperlink w:anchor="P164">
        <w:r>
          <w:rPr>
            <w:color w:val="0000FF"/>
          </w:rPr>
          <w:t>13</w:t>
        </w:r>
      </w:hyperlink>
      <w:r>
        <w:t>].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lastRenderedPageBreak/>
        <w:t>или</w:t>
      </w:r>
    </w:p>
    <w:p w:rsidR="009F4F64" w:rsidRDefault="009F4F64">
      <w:pPr>
        <w:pStyle w:val="ConsPlusNormal"/>
        <w:spacing w:before="220"/>
        <w:ind w:firstLine="540"/>
        <w:jc w:val="both"/>
      </w:pPr>
      <w:proofErr w:type="spellStart"/>
      <w:r>
        <w:t>изоконазол</w:t>
      </w:r>
      <w:proofErr w:type="spellEnd"/>
      <w:r>
        <w:t xml:space="preserve"> крем наносят 1 раз в сутки наружно на пораженные участки кожи [</w:t>
      </w:r>
      <w:hyperlink w:anchor="P159">
        <w:r>
          <w:rPr>
            <w:color w:val="0000FF"/>
          </w:rPr>
          <w:t>8</w:t>
        </w:r>
      </w:hyperlink>
      <w:r>
        <w:t xml:space="preserve">, </w:t>
      </w:r>
      <w:hyperlink w:anchor="P164">
        <w:r>
          <w:rPr>
            <w:color w:val="0000FF"/>
          </w:rPr>
          <w:t>13</w:t>
        </w:r>
      </w:hyperlink>
      <w:r>
        <w:t xml:space="preserve">, </w:t>
      </w:r>
      <w:hyperlink w:anchor="P165">
        <w:r>
          <w:rPr>
            <w:color w:val="0000FF"/>
          </w:rPr>
          <w:t>14</w:t>
        </w:r>
      </w:hyperlink>
      <w:r>
        <w:t>].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Комментарии: обычная продолжительность наружной терапии кремом </w:t>
      </w:r>
      <w:proofErr w:type="spellStart"/>
      <w:r>
        <w:t>изоконазол</w:t>
      </w:r>
      <w:proofErr w:type="spellEnd"/>
      <w:r>
        <w:t xml:space="preserve"> составляет 2 - 3 недели, в случае плохо поддающихся терапии инфекций - 4 недели. Возможно проведение и более длительного курса лечения.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- Рекомендуются при зуде в очагах поражения наружно кортикостероиды сильные в комбинации с другими препаратами:</w:t>
      </w:r>
    </w:p>
    <w:p w:rsidR="009F4F64" w:rsidRDefault="009F4F64">
      <w:pPr>
        <w:pStyle w:val="ConsPlusNormal"/>
        <w:spacing w:before="220"/>
        <w:ind w:firstLine="540"/>
        <w:jc w:val="both"/>
      </w:pPr>
      <w:proofErr w:type="spellStart"/>
      <w:r>
        <w:t>дифлукортолон</w:t>
      </w:r>
      <w:proofErr w:type="spellEnd"/>
      <w:r>
        <w:t xml:space="preserve"> + </w:t>
      </w:r>
      <w:proofErr w:type="spellStart"/>
      <w:r>
        <w:t>изоконазол</w:t>
      </w:r>
      <w:proofErr w:type="spellEnd"/>
      <w:r>
        <w:t xml:space="preserve"> крем 2 раза в сутки наружно на очаги поражения в течение 5 - 7 дней, затем - </w:t>
      </w:r>
      <w:proofErr w:type="spellStart"/>
      <w:r>
        <w:t>изоконазол</w:t>
      </w:r>
      <w:proofErr w:type="spellEnd"/>
      <w:r>
        <w:t xml:space="preserve"> крем 1 раза в день на очаги поражения в течение 7 дней </w:t>
      </w:r>
      <w:hyperlink w:anchor="P158">
        <w:r>
          <w:rPr>
            <w:color w:val="0000FF"/>
          </w:rPr>
          <w:t>[7]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Комментарии: препарат противопоказан детям до 2 лет.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- Рекомендуются при локализации очагов поражения на гладкой коже антибактериальные препараты системного действия:</w:t>
      </w:r>
    </w:p>
    <w:p w:rsidR="009F4F64" w:rsidRDefault="009F4F64">
      <w:pPr>
        <w:pStyle w:val="ConsPlusNormal"/>
        <w:spacing w:before="220"/>
        <w:ind w:firstLine="540"/>
        <w:jc w:val="both"/>
      </w:pPr>
      <w:proofErr w:type="spellStart"/>
      <w:r>
        <w:t>эритромицин</w:t>
      </w:r>
      <w:proofErr w:type="spellEnd"/>
      <w:r>
        <w:t xml:space="preserve"> 0,25 г </w:t>
      </w:r>
      <w:proofErr w:type="spellStart"/>
      <w:r>
        <w:t>перорально</w:t>
      </w:r>
      <w:proofErr w:type="spellEnd"/>
      <w:r>
        <w:t xml:space="preserve"> 4 раза в сутки в течение 5 - 7 дней </w:t>
      </w:r>
      <w:hyperlink w:anchor="P153">
        <w:r>
          <w:rPr>
            <w:color w:val="0000FF"/>
          </w:rPr>
          <w:t>[2]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28">
        <w:r>
          <w:rPr>
            <w:color w:val="0000FF"/>
          </w:rPr>
          <w:t>B</w:t>
        </w:r>
      </w:hyperlink>
      <w:r>
        <w:t xml:space="preserve"> (уровень достоверности доказательств - 2)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Комментарии: системную терапию </w:t>
      </w:r>
      <w:proofErr w:type="spellStart"/>
      <w:r>
        <w:t>эритромицином</w:t>
      </w:r>
      <w:proofErr w:type="spellEnd"/>
      <w:r>
        <w:t xml:space="preserve"> следует проводить одновременно с наружной терапией. Препарат противопоказан детям до 14 лет.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или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#тетрациклин 0,25 г </w:t>
      </w:r>
      <w:proofErr w:type="spellStart"/>
      <w:r>
        <w:t>перорально</w:t>
      </w:r>
      <w:proofErr w:type="spellEnd"/>
      <w:r>
        <w:t xml:space="preserve"> 4 раза в сутки в течение 14 дней </w:t>
      </w:r>
      <w:hyperlink w:anchor="P152">
        <w:r>
          <w:rPr>
            <w:color w:val="0000FF"/>
          </w:rPr>
          <w:t>[1]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2"/>
      </w:pPr>
      <w:r>
        <w:t>3.2. Иное лечение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Не применяется.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4. Медицинская реабилитация, медицинские показания и противопоказания к применению методов реабилитации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Не требуется.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5. Профилактика и диспансерное наблюдение, медицинские показания и противопоказания к применению методов профилактики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 xml:space="preserve">- Рекомендуется для предотвращения повторного заболевания </w:t>
      </w:r>
      <w:proofErr w:type="spellStart"/>
      <w:r>
        <w:t>эритразмой</w:t>
      </w:r>
      <w:proofErr w:type="spellEnd"/>
      <w:r>
        <w:t xml:space="preserve"> дезинфекция белья и обуви, устранение потливости, соблюдение мер личной гигиены [</w:t>
      </w:r>
      <w:hyperlink w:anchor="P157">
        <w:r>
          <w:rPr>
            <w:color w:val="0000FF"/>
          </w:rPr>
          <w:t>6</w:t>
        </w:r>
      </w:hyperlink>
      <w:r>
        <w:t xml:space="preserve">, </w:t>
      </w:r>
      <w:hyperlink w:anchor="P159">
        <w:r>
          <w:rPr>
            <w:color w:val="0000FF"/>
          </w:rPr>
          <w:t>8</w:t>
        </w:r>
      </w:hyperlink>
      <w:r>
        <w:t xml:space="preserve">, </w:t>
      </w:r>
      <w:hyperlink w:anchor="P160">
        <w:r>
          <w:rPr>
            <w:color w:val="0000FF"/>
          </w:rPr>
          <w:t>9</w:t>
        </w:r>
      </w:hyperlink>
      <w:r>
        <w:t>].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Комментарии: во время лечения пациентам следует проводить дезинфекцию белья, носков, колготок, обуви и предметов обихода.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Нательное и постельное белье, носки, чулки погружают в 2% раствор дезинфицирующего </w:t>
      </w:r>
      <w:r>
        <w:lastRenderedPageBreak/>
        <w:t>средства [</w:t>
      </w:r>
      <w:proofErr w:type="spellStart"/>
      <w:r>
        <w:t>алкилдиметилбензиламмония</w:t>
      </w:r>
      <w:proofErr w:type="spellEnd"/>
      <w:r>
        <w:t xml:space="preserve"> хлорид 4,8% + </w:t>
      </w:r>
      <w:proofErr w:type="spellStart"/>
      <w:r>
        <w:t>алкилдиметилэтилбензиламмония</w:t>
      </w:r>
      <w:proofErr w:type="spellEnd"/>
      <w:r>
        <w:t xml:space="preserve"> хлорид 4,8%] ("</w:t>
      </w:r>
      <w:proofErr w:type="spellStart"/>
      <w:r>
        <w:t>Самаровка</w:t>
      </w:r>
      <w:proofErr w:type="spellEnd"/>
      <w:r>
        <w:t>") на 2 часа или 3% раствор - 1,5 часа, затем стирают и прополаскивают. Дезинфекция белья проводится 1 раз в неделю до выздоровления.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Дезинфекция обуви проводится методом протирания 2% раствором дезинфицирующего средства "</w:t>
      </w:r>
      <w:proofErr w:type="spellStart"/>
      <w:r>
        <w:t>Самаровка</w:t>
      </w:r>
      <w:proofErr w:type="spellEnd"/>
      <w:r>
        <w:t>" при времени воздействия 2 часа.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Все работы со средством "</w:t>
      </w:r>
      <w:proofErr w:type="spellStart"/>
      <w:r>
        <w:t>Самаровка</w:t>
      </w:r>
      <w:proofErr w:type="spellEnd"/>
      <w:r>
        <w:t>" следует проводить с защитой кожи рук резиновыми перчатками. Концентрат дезинфицирующего средства "</w:t>
      </w:r>
      <w:proofErr w:type="spellStart"/>
      <w:r>
        <w:t>Самаровка</w:t>
      </w:r>
      <w:proofErr w:type="spellEnd"/>
      <w:r>
        <w:t xml:space="preserve">" разводят из расчета 1 чайная ложка на стакан воды (2% раствор) и 1,5 чайной ложки на стакан воды (3% раствор). Срок годности рабочих растворов - 14 дней </w:t>
      </w:r>
      <w:hyperlink w:anchor="P157">
        <w:r>
          <w:rPr>
            <w:color w:val="0000FF"/>
          </w:rPr>
          <w:t>[6]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Для дезинфекции белья, носков применяют кипячение в 1 - 2% мыльно-содовом растворе в течение 10 - 20 минут или в 2 - 3% растворе хозяйственного мыла в течение 5 - 10 минут, затем проглаживание горячим утюгом во влажном виде </w:t>
      </w:r>
      <w:hyperlink w:anchor="P160">
        <w:r>
          <w:rPr>
            <w:color w:val="0000FF"/>
          </w:rPr>
          <w:t>[9]</w:t>
        </w:r>
      </w:hyperlink>
      <w:r>
        <w:t>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6. Организация оказания медицинской помощи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Показания для госпитализации в медицинскую организацию отсутствуют. Медицинская помощь оказывается в амбулаторных условиях.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7. Дополнительная информация (в том числе факторы, влияющие на исход заболевания или состояния)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 xml:space="preserve">- Рекомендуется во время лечения для повышения его эффективности в гигиенических целях использовать антибактериальное мыло </w:t>
      </w:r>
      <w:hyperlink w:anchor="P162">
        <w:r>
          <w:rPr>
            <w:color w:val="0000FF"/>
          </w:rPr>
          <w:t>[11]</w:t>
        </w:r>
      </w:hyperlink>
      <w:r>
        <w:t>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Уровень убедительности рекомендаций </w:t>
      </w:r>
      <w:hyperlink w:anchor="P230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Критерии оценки качества медицинской помощи</w:t>
      </w:r>
    </w:p>
    <w:p w:rsidR="009F4F64" w:rsidRDefault="009F4F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"/>
        <w:gridCol w:w="5045"/>
        <w:gridCol w:w="1757"/>
        <w:gridCol w:w="1870"/>
      </w:tblGrid>
      <w:tr w:rsidR="009F4F64">
        <w:tc>
          <w:tcPr>
            <w:tcW w:w="396" w:type="dxa"/>
          </w:tcPr>
          <w:p w:rsidR="009F4F64" w:rsidRDefault="009F4F6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045" w:type="dxa"/>
          </w:tcPr>
          <w:p w:rsidR="009F4F64" w:rsidRDefault="009F4F64">
            <w:pPr>
              <w:pStyle w:val="ConsPlusNormal"/>
              <w:jc w:val="center"/>
            </w:pPr>
            <w:r>
              <w:t>Критерии качества</w:t>
            </w:r>
          </w:p>
        </w:tc>
        <w:tc>
          <w:tcPr>
            <w:tcW w:w="1757" w:type="dxa"/>
          </w:tcPr>
          <w:p w:rsidR="009F4F64" w:rsidRDefault="009F4F64">
            <w:pPr>
              <w:pStyle w:val="ConsPlusNormal"/>
              <w:jc w:val="center"/>
            </w:pPr>
            <w:r>
              <w:t>Уровень убедительности рекомендаций</w:t>
            </w:r>
          </w:p>
        </w:tc>
        <w:tc>
          <w:tcPr>
            <w:tcW w:w="1870" w:type="dxa"/>
          </w:tcPr>
          <w:p w:rsidR="009F4F64" w:rsidRDefault="009F4F64">
            <w:pPr>
              <w:pStyle w:val="ConsPlusNormal"/>
              <w:jc w:val="center"/>
            </w:pPr>
            <w:r>
              <w:t>Уровень достоверности доказательств</w:t>
            </w:r>
          </w:p>
        </w:tc>
      </w:tr>
      <w:tr w:rsidR="009F4F64">
        <w:tc>
          <w:tcPr>
            <w:tcW w:w="396" w:type="dxa"/>
          </w:tcPr>
          <w:p w:rsidR="009F4F64" w:rsidRDefault="009F4F64">
            <w:pPr>
              <w:pStyle w:val="ConsPlusNormal"/>
            </w:pPr>
            <w:r>
              <w:t>1</w:t>
            </w:r>
          </w:p>
        </w:tc>
        <w:tc>
          <w:tcPr>
            <w:tcW w:w="5045" w:type="dxa"/>
            <w:vAlign w:val="bottom"/>
          </w:tcPr>
          <w:p w:rsidR="009F4F64" w:rsidRDefault="009F4F64">
            <w:pPr>
              <w:pStyle w:val="ConsPlusNormal"/>
              <w:jc w:val="both"/>
            </w:pPr>
            <w:r>
              <w:t>Выполнено микроскопическое исследование соскоба с кожи из очагов поражения</w:t>
            </w:r>
          </w:p>
        </w:tc>
        <w:tc>
          <w:tcPr>
            <w:tcW w:w="1757" w:type="dxa"/>
            <w:vAlign w:val="center"/>
          </w:tcPr>
          <w:p w:rsidR="009F4F64" w:rsidRDefault="009F4F64">
            <w:pPr>
              <w:pStyle w:val="ConsPlusNormal"/>
            </w:pPr>
            <w:hyperlink w:anchor="P230">
              <w:r>
                <w:rPr>
                  <w:color w:val="0000FF"/>
                </w:rPr>
                <w:t>C</w:t>
              </w:r>
            </w:hyperlink>
          </w:p>
        </w:tc>
        <w:tc>
          <w:tcPr>
            <w:tcW w:w="1870" w:type="dxa"/>
            <w:vAlign w:val="center"/>
          </w:tcPr>
          <w:p w:rsidR="009F4F64" w:rsidRDefault="009F4F64">
            <w:pPr>
              <w:pStyle w:val="ConsPlusNormal"/>
            </w:pPr>
            <w:r>
              <w:t>5</w:t>
            </w:r>
          </w:p>
        </w:tc>
      </w:tr>
      <w:tr w:rsidR="009F4F64">
        <w:tc>
          <w:tcPr>
            <w:tcW w:w="396" w:type="dxa"/>
          </w:tcPr>
          <w:p w:rsidR="009F4F64" w:rsidRDefault="009F4F64">
            <w:pPr>
              <w:pStyle w:val="ConsPlusNormal"/>
            </w:pPr>
            <w:r>
              <w:t>2</w:t>
            </w:r>
          </w:p>
        </w:tc>
        <w:tc>
          <w:tcPr>
            <w:tcW w:w="5045" w:type="dxa"/>
          </w:tcPr>
          <w:p w:rsidR="009F4F64" w:rsidRDefault="009F4F64">
            <w:pPr>
              <w:pStyle w:val="ConsPlusNormal"/>
              <w:jc w:val="both"/>
            </w:pPr>
            <w:r>
              <w:t>Выполнена люминесцентная диагностика (осмотр под лампой Вуда)</w:t>
            </w:r>
          </w:p>
        </w:tc>
        <w:tc>
          <w:tcPr>
            <w:tcW w:w="1757" w:type="dxa"/>
            <w:vAlign w:val="center"/>
          </w:tcPr>
          <w:p w:rsidR="009F4F64" w:rsidRDefault="009F4F64">
            <w:pPr>
              <w:pStyle w:val="ConsPlusNormal"/>
            </w:pPr>
            <w:hyperlink w:anchor="P230">
              <w:r>
                <w:rPr>
                  <w:color w:val="0000FF"/>
                </w:rPr>
                <w:t>C</w:t>
              </w:r>
            </w:hyperlink>
          </w:p>
        </w:tc>
        <w:tc>
          <w:tcPr>
            <w:tcW w:w="1870" w:type="dxa"/>
            <w:vAlign w:val="center"/>
          </w:tcPr>
          <w:p w:rsidR="009F4F64" w:rsidRDefault="009F4F64">
            <w:pPr>
              <w:pStyle w:val="ConsPlusNormal"/>
            </w:pPr>
            <w:r>
              <w:t>5</w:t>
            </w:r>
          </w:p>
        </w:tc>
      </w:tr>
      <w:tr w:rsidR="009F4F64">
        <w:tc>
          <w:tcPr>
            <w:tcW w:w="396" w:type="dxa"/>
          </w:tcPr>
          <w:p w:rsidR="009F4F64" w:rsidRDefault="009F4F64">
            <w:pPr>
              <w:pStyle w:val="ConsPlusNormal"/>
            </w:pPr>
            <w:r>
              <w:t>3</w:t>
            </w:r>
          </w:p>
        </w:tc>
        <w:tc>
          <w:tcPr>
            <w:tcW w:w="5045" w:type="dxa"/>
          </w:tcPr>
          <w:p w:rsidR="009F4F64" w:rsidRDefault="009F4F64">
            <w:pPr>
              <w:pStyle w:val="ConsPlusNormal"/>
              <w:jc w:val="both"/>
            </w:pPr>
            <w:r>
              <w:t>Проведена терапия антибиотиками для местного назначения или противомикробными препаратами для лечения угревой сыпи или противогрибковыми препаратами для местного применения или кортикостероиды сильные в комбинации с другими препаратами и (</w:t>
            </w:r>
            <w:proofErr w:type="spellStart"/>
            <w:r>
              <w:t>дифлукортолон</w:t>
            </w:r>
            <w:proofErr w:type="spellEnd"/>
            <w:r>
              <w:t xml:space="preserve"> + </w:t>
            </w:r>
            <w:proofErr w:type="spellStart"/>
            <w:r>
              <w:t>изоконазол</w:t>
            </w:r>
            <w:proofErr w:type="spellEnd"/>
            <w:r>
              <w:t>) и/или антибактериальных препаратов системного действия</w:t>
            </w:r>
          </w:p>
        </w:tc>
        <w:tc>
          <w:tcPr>
            <w:tcW w:w="1757" w:type="dxa"/>
            <w:vAlign w:val="center"/>
          </w:tcPr>
          <w:p w:rsidR="009F4F64" w:rsidRDefault="009F4F64">
            <w:pPr>
              <w:pStyle w:val="ConsPlusNormal"/>
            </w:pPr>
            <w:hyperlink w:anchor="P230">
              <w:r>
                <w:rPr>
                  <w:color w:val="0000FF"/>
                </w:rPr>
                <w:t>C</w:t>
              </w:r>
            </w:hyperlink>
          </w:p>
        </w:tc>
        <w:tc>
          <w:tcPr>
            <w:tcW w:w="1870" w:type="dxa"/>
            <w:vAlign w:val="center"/>
          </w:tcPr>
          <w:p w:rsidR="009F4F64" w:rsidRDefault="009F4F64">
            <w:pPr>
              <w:pStyle w:val="ConsPlusNormal"/>
            </w:pPr>
            <w:r>
              <w:t>5</w:t>
            </w:r>
          </w:p>
        </w:tc>
      </w:tr>
    </w:tbl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jc w:val="center"/>
        <w:outlineLvl w:val="1"/>
      </w:pPr>
      <w:r>
        <w:t>Список литературы</w:t>
      </w:r>
    </w:p>
    <w:p w:rsidR="009F4F64" w:rsidRDefault="009F4F64">
      <w:pPr>
        <w:pStyle w:val="ConsPlusNormal"/>
        <w:jc w:val="both"/>
      </w:pPr>
    </w:p>
    <w:p w:rsidR="009F4F64" w:rsidRPr="009F4F64" w:rsidRDefault="009F4F64">
      <w:pPr>
        <w:pStyle w:val="ConsPlusNormal"/>
        <w:ind w:firstLine="540"/>
        <w:jc w:val="both"/>
        <w:rPr>
          <w:lang w:val="en-US"/>
        </w:rPr>
      </w:pPr>
      <w:bookmarkStart w:id="0" w:name="P152"/>
      <w:bookmarkEnd w:id="0"/>
      <w:r w:rsidRPr="009F4F64">
        <w:rPr>
          <w:lang w:val="en-US"/>
        </w:rPr>
        <w:t>1. Holdiness M.R. Management of cutaneous erythrasma. Drugs 2002; N 62 (8): 1131 - 1141.</w:t>
      </w:r>
    </w:p>
    <w:p w:rsidR="009F4F64" w:rsidRDefault="009F4F64">
      <w:pPr>
        <w:pStyle w:val="ConsPlusNormal"/>
        <w:spacing w:before="220"/>
        <w:ind w:firstLine="540"/>
        <w:jc w:val="both"/>
      </w:pPr>
      <w:bookmarkStart w:id="1" w:name="P153"/>
      <w:bookmarkEnd w:id="1"/>
      <w:r w:rsidRPr="009F4F64">
        <w:rPr>
          <w:lang w:val="en-US"/>
        </w:rPr>
        <w:lastRenderedPageBreak/>
        <w:t xml:space="preserve">2. Avci O., Tanyildizi T., Kusku E. A comparison between the effectiveness of erythromycin, single-dose clarithromycin and topical fusidic acid in the treatment of erythrasma. </w:t>
      </w:r>
      <w:r>
        <w:t xml:space="preserve">J </w:t>
      </w:r>
      <w:proofErr w:type="spellStart"/>
      <w:r>
        <w:t>Dermatol</w:t>
      </w:r>
      <w:proofErr w:type="spellEnd"/>
      <w:r>
        <w:t xml:space="preserve"> </w:t>
      </w:r>
      <w:proofErr w:type="spellStart"/>
      <w:r>
        <w:t>Treat</w:t>
      </w:r>
      <w:proofErr w:type="spellEnd"/>
      <w:r>
        <w:t xml:space="preserve"> 2013; N 24 (1): 70 - 74.</w:t>
      </w:r>
    </w:p>
    <w:p w:rsidR="009F4F64" w:rsidRDefault="009F4F64">
      <w:pPr>
        <w:pStyle w:val="ConsPlusNormal"/>
        <w:spacing w:before="220"/>
        <w:ind w:firstLine="540"/>
        <w:jc w:val="both"/>
      </w:pPr>
      <w:bookmarkStart w:id="2" w:name="P154"/>
      <w:bookmarkEnd w:id="2"/>
      <w:r>
        <w:t xml:space="preserve">3. Кожные и венерические болезни. Руководство для врачей. В двух томах - Т.1/Под ред. Ю.К. Скрипкина, В.Н. </w:t>
      </w:r>
      <w:proofErr w:type="spellStart"/>
      <w:r>
        <w:t>Мордовцева</w:t>
      </w:r>
      <w:proofErr w:type="spellEnd"/>
      <w:r>
        <w:t>. - М., Медицина, 1999. - С. 305 - 306.</w:t>
      </w:r>
    </w:p>
    <w:p w:rsidR="009F4F64" w:rsidRDefault="009F4F64">
      <w:pPr>
        <w:pStyle w:val="ConsPlusNormal"/>
        <w:spacing w:before="220"/>
        <w:ind w:firstLine="540"/>
        <w:jc w:val="both"/>
      </w:pPr>
      <w:bookmarkStart w:id="3" w:name="P155"/>
      <w:bookmarkEnd w:id="3"/>
      <w:r>
        <w:t xml:space="preserve">4. </w:t>
      </w:r>
      <w:proofErr w:type="spellStart"/>
      <w:r>
        <w:t>Lackner</w:t>
      </w:r>
      <w:proofErr w:type="spellEnd"/>
      <w:r>
        <w:t xml:space="preserve"> T.E., </w:t>
      </w:r>
      <w:proofErr w:type="spellStart"/>
      <w:r>
        <w:t>Clissold</w:t>
      </w:r>
      <w:proofErr w:type="spellEnd"/>
      <w:r>
        <w:t xml:space="preserve"> S.P. </w:t>
      </w:r>
      <w:proofErr w:type="spellStart"/>
      <w:r>
        <w:t>Bifonazole</w:t>
      </w:r>
      <w:proofErr w:type="spellEnd"/>
      <w:r>
        <w:t xml:space="preserve">. </w:t>
      </w:r>
      <w:r w:rsidRPr="009F4F64">
        <w:rPr>
          <w:lang w:val="en-US"/>
        </w:rPr>
        <w:t xml:space="preserve">A review of its antimicrobial activity and therapeutic use in superficial mycoses. </w:t>
      </w:r>
      <w:proofErr w:type="spellStart"/>
      <w:r>
        <w:t>Drugs</w:t>
      </w:r>
      <w:proofErr w:type="spellEnd"/>
      <w:r>
        <w:t xml:space="preserve"> 1989; N 38 (2): 204 - 225.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5. Степанова Ж.В. Грибковые заболевания. Диагностика и лечение. - М., </w:t>
      </w:r>
      <w:proofErr w:type="spellStart"/>
      <w:r>
        <w:t>Миклош</w:t>
      </w:r>
      <w:proofErr w:type="spellEnd"/>
      <w:r>
        <w:t>, 2005. - С. 97 - 99.</w:t>
      </w:r>
    </w:p>
    <w:p w:rsidR="009F4F64" w:rsidRPr="009F4F64" w:rsidRDefault="009F4F64">
      <w:pPr>
        <w:pStyle w:val="ConsPlusNormal"/>
        <w:spacing w:before="220"/>
        <w:ind w:firstLine="540"/>
        <w:jc w:val="both"/>
        <w:rPr>
          <w:lang w:val="en-US"/>
        </w:rPr>
      </w:pPr>
      <w:bookmarkStart w:id="4" w:name="P157"/>
      <w:bookmarkEnd w:id="4"/>
      <w:r>
        <w:t xml:space="preserve">6. Федорова Л.С., Степанова Ж.В., </w:t>
      </w:r>
      <w:proofErr w:type="spellStart"/>
      <w:r>
        <w:t>Кожичкина</w:t>
      </w:r>
      <w:proofErr w:type="spellEnd"/>
      <w:r>
        <w:t xml:space="preserve"> Н.В. Новые средства для дезинфекции обуви. Дезинфекционное</w:t>
      </w:r>
      <w:r w:rsidRPr="009F4F64">
        <w:rPr>
          <w:lang w:val="en-US"/>
        </w:rPr>
        <w:t xml:space="preserve"> </w:t>
      </w:r>
      <w:r>
        <w:t>дело</w:t>
      </w:r>
      <w:r w:rsidRPr="009F4F64">
        <w:rPr>
          <w:lang w:val="en-US"/>
        </w:rPr>
        <w:t xml:space="preserve">. - 2005. - N 3. - </w:t>
      </w:r>
      <w:proofErr w:type="gramStart"/>
      <w:r>
        <w:t>С</w:t>
      </w:r>
      <w:r w:rsidRPr="009F4F64">
        <w:rPr>
          <w:lang w:val="en-US"/>
        </w:rPr>
        <w:t>. 39</w:t>
      </w:r>
      <w:proofErr w:type="gramEnd"/>
      <w:r w:rsidRPr="009F4F64">
        <w:rPr>
          <w:lang w:val="en-US"/>
        </w:rPr>
        <w:t xml:space="preserve"> - 42.</w:t>
      </w:r>
    </w:p>
    <w:p w:rsidR="009F4F64" w:rsidRDefault="009F4F64">
      <w:pPr>
        <w:pStyle w:val="ConsPlusNormal"/>
        <w:spacing w:before="220"/>
        <w:ind w:firstLine="540"/>
        <w:jc w:val="both"/>
      </w:pPr>
      <w:bookmarkStart w:id="5" w:name="P158"/>
      <w:bookmarkEnd w:id="5"/>
      <w:r w:rsidRPr="009F4F64">
        <w:rPr>
          <w:lang w:val="en-US"/>
        </w:rPr>
        <w:t xml:space="preserve">7. Piergiorgio M. Effective treatment of erythrasma-associated inflammation and pruritus with isoconazole nitrate and diflucortolone valerate combination therapy. </w:t>
      </w:r>
      <w:proofErr w:type="spellStart"/>
      <w:r>
        <w:t>Mycoses</w:t>
      </w:r>
      <w:proofErr w:type="spellEnd"/>
      <w:r>
        <w:t xml:space="preserve"> 2013; N 56 (</w:t>
      </w:r>
      <w:proofErr w:type="spellStart"/>
      <w:r>
        <w:t>Suppl</w:t>
      </w:r>
      <w:proofErr w:type="spellEnd"/>
      <w:r>
        <w:t>. 1): 38 - 40.</w:t>
      </w:r>
    </w:p>
    <w:p w:rsidR="009F4F64" w:rsidRDefault="009F4F64">
      <w:pPr>
        <w:pStyle w:val="ConsPlusNormal"/>
        <w:spacing w:before="220"/>
        <w:ind w:firstLine="540"/>
        <w:jc w:val="both"/>
      </w:pPr>
      <w:bookmarkStart w:id="6" w:name="P159"/>
      <w:bookmarkEnd w:id="6"/>
      <w:r>
        <w:t>8. Степанова Ж.В. Профилактика грибковых заболеваний. М., 2008; с. 12 - 15.</w:t>
      </w:r>
    </w:p>
    <w:p w:rsidR="009F4F64" w:rsidRDefault="009F4F64">
      <w:pPr>
        <w:pStyle w:val="ConsPlusNormal"/>
        <w:spacing w:before="220"/>
        <w:ind w:firstLine="540"/>
        <w:jc w:val="both"/>
      </w:pPr>
      <w:bookmarkStart w:id="7" w:name="P160"/>
      <w:bookmarkEnd w:id="7"/>
      <w:r>
        <w:t xml:space="preserve">9. </w:t>
      </w:r>
      <w:proofErr w:type="spellStart"/>
      <w:r>
        <w:t>Шеклаков</w:t>
      </w:r>
      <w:proofErr w:type="spellEnd"/>
      <w:r>
        <w:t xml:space="preserve"> Н.Д., </w:t>
      </w:r>
      <w:proofErr w:type="spellStart"/>
      <w:r>
        <w:t>Лещенко</w:t>
      </w:r>
      <w:proofErr w:type="spellEnd"/>
      <w:r>
        <w:t xml:space="preserve"> В.М. Методические рекомендации по клинике, диагностике, лечению и профилактике микозов стоп. М., 1979; с. 14 - 15.</w:t>
      </w:r>
    </w:p>
    <w:p w:rsidR="009F4F64" w:rsidRPr="009F4F64" w:rsidRDefault="009F4F64">
      <w:pPr>
        <w:pStyle w:val="ConsPlusNormal"/>
        <w:spacing w:before="220"/>
        <w:ind w:firstLine="540"/>
        <w:jc w:val="both"/>
        <w:rPr>
          <w:lang w:val="en-US"/>
        </w:rPr>
      </w:pPr>
      <w:r>
        <w:t xml:space="preserve">10. </w:t>
      </w:r>
      <w:proofErr w:type="spellStart"/>
      <w:r>
        <w:t>Кашкин</w:t>
      </w:r>
      <w:proofErr w:type="spellEnd"/>
      <w:r>
        <w:t xml:space="preserve"> П.Н. Дерматомикозы. Руководство для врачей. Издательство Медицина. Ленинград</w:t>
      </w:r>
      <w:r w:rsidRPr="009F4F64">
        <w:rPr>
          <w:lang w:val="en-US"/>
        </w:rPr>
        <w:t xml:space="preserve">, 1967; </w:t>
      </w:r>
      <w:r>
        <w:t>с</w:t>
      </w:r>
      <w:r w:rsidRPr="009F4F64">
        <w:rPr>
          <w:lang w:val="en-US"/>
        </w:rPr>
        <w:t>. 223 - 227.</w:t>
      </w:r>
    </w:p>
    <w:p w:rsidR="009F4F64" w:rsidRPr="009F4F64" w:rsidRDefault="009F4F64">
      <w:pPr>
        <w:pStyle w:val="ConsPlusNormal"/>
        <w:spacing w:before="220"/>
        <w:ind w:firstLine="540"/>
        <w:jc w:val="both"/>
        <w:rPr>
          <w:lang w:val="en-US"/>
        </w:rPr>
      </w:pPr>
      <w:bookmarkStart w:id="8" w:name="P162"/>
      <w:bookmarkEnd w:id="8"/>
      <w:r w:rsidRPr="009F4F64">
        <w:rPr>
          <w:lang w:val="en-US"/>
        </w:rPr>
        <w:t>11. Dodge B.G., Knowles W.R., McBride M.E. et al., Treatment of erythrasma with an antibacterial soap. Arch Derm 1968; 97 (5): 549 - 552.</w:t>
      </w:r>
    </w:p>
    <w:p w:rsidR="009F4F64" w:rsidRPr="009F4F64" w:rsidRDefault="009F4F64">
      <w:pPr>
        <w:pStyle w:val="ConsPlusNormal"/>
        <w:spacing w:before="220"/>
        <w:ind w:firstLine="540"/>
        <w:jc w:val="both"/>
        <w:rPr>
          <w:lang w:val="en-US"/>
        </w:rPr>
      </w:pPr>
      <w:bookmarkStart w:id="9" w:name="P163"/>
      <w:bookmarkEnd w:id="9"/>
      <w:r w:rsidRPr="009F4F64">
        <w:rPr>
          <w:lang w:val="en-US"/>
        </w:rPr>
        <w:t>12. Earl D, Allenby L, Richards H, Wright CM. Bifonazole 1% gel in the treatment of superficial dermatophytoses and erythrasma of the feet and groin. Pharmatherapeutica. 1986; 4(8): 532 - 535.</w:t>
      </w:r>
    </w:p>
    <w:p w:rsidR="009F4F64" w:rsidRPr="009F4F64" w:rsidRDefault="009F4F64">
      <w:pPr>
        <w:pStyle w:val="ConsPlusNormal"/>
        <w:spacing w:before="220"/>
        <w:ind w:firstLine="540"/>
        <w:jc w:val="both"/>
        <w:rPr>
          <w:lang w:val="en-US"/>
        </w:rPr>
      </w:pPr>
      <w:bookmarkStart w:id="10" w:name="P164"/>
      <w:bookmarkEnd w:id="10"/>
      <w:r w:rsidRPr="009F4F64">
        <w:rPr>
          <w:lang w:val="en-US"/>
        </w:rPr>
        <w:t>13. Recommandations de traitements anti-infectieux en milieu hospitalier, 2017, p. 86</w:t>
      </w:r>
    </w:p>
    <w:p w:rsidR="009F4F64" w:rsidRDefault="009F4F64">
      <w:pPr>
        <w:pStyle w:val="ConsPlusNormal"/>
        <w:spacing w:before="220"/>
        <w:ind w:firstLine="540"/>
        <w:jc w:val="both"/>
      </w:pPr>
      <w:bookmarkStart w:id="11" w:name="P165"/>
      <w:bookmarkEnd w:id="11"/>
      <w:r>
        <w:t xml:space="preserve">14. Микозы человека и противогрибковые препараты: монография/А.К. </w:t>
      </w:r>
      <w:proofErr w:type="spellStart"/>
      <w:r>
        <w:t>Саданов</w:t>
      </w:r>
      <w:proofErr w:type="spellEnd"/>
      <w:r>
        <w:t xml:space="preserve">, В.Э. Березин, Л.П. </w:t>
      </w:r>
      <w:proofErr w:type="spellStart"/>
      <w:r>
        <w:t>Треножникова</w:t>
      </w:r>
      <w:proofErr w:type="spellEnd"/>
      <w:r>
        <w:t xml:space="preserve"> и др. - </w:t>
      </w:r>
      <w:proofErr w:type="spellStart"/>
      <w:r>
        <w:t>Алматы</w:t>
      </w:r>
      <w:proofErr w:type="spellEnd"/>
      <w:r>
        <w:t>, 2016. - 315 с.: ил. 44; табл. 17.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right"/>
        <w:outlineLvl w:val="0"/>
      </w:pPr>
      <w:r>
        <w:t>Приложение А</w:t>
      </w:r>
      <w:proofErr w:type="gramStart"/>
      <w:r>
        <w:t>1</w:t>
      </w:r>
      <w:proofErr w:type="gramEnd"/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jc w:val="center"/>
      </w:pPr>
      <w:r>
        <w:t>СОСТАВ РАБОЧЕЙ ГРУППЫ</w:t>
      </w:r>
    </w:p>
    <w:p w:rsidR="009F4F64" w:rsidRDefault="009F4F64">
      <w:pPr>
        <w:pStyle w:val="ConsPlusTitle"/>
        <w:jc w:val="center"/>
      </w:pPr>
      <w:r>
        <w:t>ПО РАЗРАБОТКЕ И ПЕРЕСМОТРУ КЛИНИЧЕСКИХ РЕКОМЕНДАЦИЙ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 xml:space="preserve">1. </w:t>
      </w:r>
      <w:proofErr w:type="spellStart"/>
      <w:r>
        <w:t>Кубанов</w:t>
      </w:r>
      <w:proofErr w:type="spellEnd"/>
      <w:r>
        <w:t xml:space="preserve"> Алексей Алексеевич - член-корр. РАН, доктор медицинских наук, профессор, президент Российского общества </w:t>
      </w:r>
      <w:proofErr w:type="spellStart"/>
      <w:r>
        <w:t>дерматовенерологов</w:t>
      </w:r>
      <w:proofErr w:type="spellEnd"/>
      <w:r>
        <w:t xml:space="preserve"> и косметологов. Конфликт интересов отсутствует.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Чикин</w:t>
      </w:r>
      <w:proofErr w:type="spellEnd"/>
      <w:r>
        <w:t xml:space="preserve"> Вадим Викторович - доктор медицинских наук, член Российского общества </w:t>
      </w:r>
      <w:proofErr w:type="spellStart"/>
      <w:r>
        <w:t>дерматовенерологов</w:t>
      </w:r>
      <w:proofErr w:type="spellEnd"/>
      <w:r>
        <w:t xml:space="preserve"> и косметологов. Конфликт интересов отсутствует.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Кожичкина</w:t>
      </w:r>
      <w:proofErr w:type="spellEnd"/>
      <w:r>
        <w:t xml:space="preserve"> Наталья Владимировна - кандидат медицинских наук, член Российского </w:t>
      </w:r>
      <w:r>
        <w:lastRenderedPageBreak/>
        <w:t xml:space="preserve">общества </w:t>
      </w:r>
      <w:proofErr w:type="spellStart"/>
      <w:r>
        <w:t>дерматовенерологов</w:t>
      </w:r>
      <w:proofErr w:type="spellEnd"/>
      <w:r>
        <w:t xml:space="preserve"> и косметологов. Конфликт интересов отсутствует.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right"/>
        <w:outlineLvl w:val="0"/>
      </w:pPr>
      <w:r>
        <w:t>Приложение А</w:t>
      </w:r>
      <w:proofErr w:type="gramStart"/>
      <w:r>
        <w:t>2</w:t>
      </w:r>
      <w:proofErr w:type="gramEnd"/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jc w:val="center"/>
      </w:pPr>
      <w:r>
        <w:t>МЕТОДОЛОГИЯ РАЗРАБОТКИ КЛИНИЧЕСКИХ РЕКОМЕНДАЦИЙ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Целевая аудитория данных клинических рекомендаций: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1. </w:t>
      </w:r>
      <w:proofErr w:type="spellStart"/>
      <w:r>
        <w:t>Врачи-дерматовенерологи</w:t>
      </w:r>
      <w:proofErr w:type="spellEnd"/>
    </w:p>
    <w:p w:rsidR="009F4F64" w:rsidRDefault="009F4F64">
      <w:pPr>
        <w:pStyle w:val="ConsPlusNormal"/>
        <w:spacing w:before="220"/>
        <w:ind w:firstLine="540"/>
        <w:jc w:val="both"/>
      </w:pPr>
      <w:r>
        <w:t>2. Ординаторы и слушатели циклов повышения квалификации по специальности "</w:t>
      </w:r>
      <w:proofErr w:type="spellStart"/>
      <w:r>
        <w:t>Дерматовенерология</w:t>
      </w:r>
      <w:proofErr w:type="spellEnd"/>
      <w:r>
        <w:t>".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Таблица 1. Шкала оценки уровней достоверности доказательств (УДД) для методов диагностики (диагностических вмешательств)</w:t>
      </w:r>
    </w:p>
    <w:p w:rsidR="009F4F64" w:rsidRDefault="009F4F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03"/>
        <w:gridCol w:w="7766"/>
      </w:tblGrid>
      <w:tr w:rsidR="009F4F64">
        <w:tc>
          <w:tcPr>
            <w:tcW w:w="1303" w:type="dxa"/>
          </w:tcPr>
          <w:p w:rsidR="009F4F64" w:rsidRDefault="009F4F64">
            <w:pPr>
              <w:pStyle w:val="ConsPlusNormal"/>
              <w:jc w:val="center"/>
            </w:pPr>
            <w:r>
              <w:t>УДД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1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r>
              <w:t xml:space="preserve">Систематические обзоры исследований с контролем </w:t>
            </w:r>
            <w:proofErr w:type="spellStart"/>
            <w:r>
              <w:t>референсным</w:t>
            </w:r>
            <w:proofErr w:type="spellEnd"/>
            <w:r>
              <w:t xml:space="preserve"> методом или систематический обзор </w:t>
            </w:r>
            <w:proofErr w:type="spellStart"/>
            <w:r>
              <w:t>рандомизированных</w:t>
            </w:r>
            <w:proofErr w:type="spellEnd"/>
            <w:r>
              <w:t xml:space="preserve"> клинических исследований с применением </w:t>
            </w:r>
            <w:proofErr w:type="spellStart"/>
            <w:proofErr w:type="gramStart"/>
            <w:r>
              <w:t>мета-анализа</w:t>
            </w:r>
            <w:proofErr w:type="spellEnd"/>
            <w:proofErr w:type="gramEnd"/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2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r>
              <w:t xml:space="preserve">Отдельные исследования с контролем </w:t>
            </w:r>
            <w:proofErr w:type="spellStart"/>
            <w:r>
              <w:t>референсным</w:t>
            </w:r>
            <w:proofErr w:type="spellEnd"/>
            <w:r>
              <w:t xml:space="preserve"> методом или отдельные </w:t>
            </w:r>
            <w:proofErr w:type="spellStart"/>
            <w:r>
              <w:t>рандомизированные</w:t>
            </w:r>
            <w:proofErr w:type="spellEnd"/>
            <w: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>
              <w:t>рандомизированных</w:t>
            </w:r>
            <w:proofErr w:type="spellEnd"/>
            <w:r>
              <w:t xml:space="preserve"> клинических исследований, с применением </w:t>
            </w:r>
            <w:proofErr w:type="spellStart"/>
            <w:proofErr w:type="gramStart"/>
            <w:r>
              <w:t>мета-анализа</w:t>
            </w:r>
            <w:proofErr w:type="spellEnd"/>
            <w:proofErr w:type="gramEnd"/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3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r>
              <w:t xml:space="preserve">Исследования без последовательного контроля </w:t>
            </w:r>
            <w:proofErr w:type="spellStart"/>
            <w:r>
              <w:t>референсным</w:t>
            </w:r>
            <w:proofErr w:type="spellEnd"/>
            <w:r>
              <w:t xml:space="preserve"> методом или исследования с </w:t>
            </w:r>
            <w:proofErr w:type="spellStart"/>
            <w:r>
              <w:t>референсным</w:t>
            </w:r>
            <w:proofErr w:type="spellEnd"/>
            <w:r>
              <w:t xml:space="preserve"> методом, не являющимся независимым от исследуемого метода или </w:t>
            </w:r>
            <w:proofErr w:type="spellStart"/>
            <w:r>
              <w:t>нерандомизированные</w:t>
            </w:r>
            <w:proofErr w:type="spellEnd"/>
            <w:r>
              <w:t xml:space="preserve"> сравнительные исследования, в том числе </w:t>
            </w:r>
            <w:proofErr w:type="spellStart"/>
            <w:r>
              <w:t>когортные</w:t>
            </w:r>
            <w:proofErr w:type="spellEnd"/>
            <w:r>
              <w:t xml:space="preserve"> исследования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4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proofErr w:type="spellStart"/>
            <w:r>
              <w:t>Несравнительные</w:t>
            </w:r>
            <w:proofErr w:type="spellEnd"/>
            <w:r>
              <w:t xml:space="preserve"> исследования, описание клинического случая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5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r>
              <w:t>Имеется лишь обоснование механизма действия или мнение экспертов</w:t>
            </w:r>
          </w:p>
        </w:tc>
      </w:tr>
    </w:tbl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Таблица 2. 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p w:rsidR="009F4F64" w:rsidRDefault="009F4F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03"/>
        <w:gridCol w:w="7766"/>
      </w:tblGrid>
      <w:tr w:rsidR="009F4F64">
        <w:tc>
          <w:tcPr>
            <w:tcW w:w="1303" w:type="dxa"/>
          </w:tcPr>
          <w:p w:rsidR="009F4F64" w:rsidRDefault="009F4F64">
            <w:pPr>
              <w:pStyle w:val="ConsPlusNormal"/>
              <w:jc w:val="center"/>
            </w:pPr>
            <w:r>
              <w:t>УДД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1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r>
              <w:t xml:space="preserve">Систематический обзор РКИ с применением </w:t>
            </w:r>
            <w:proofErr w:type="spellStart"/>
            <w:proofErr w:type="gramStart"/>
            <w:r>
              <w:t>мета-анализа</w:t>
            </w:r>
            <w:proofErr w:type="spellEnd"/>
            <w:proofErr w:type="gramEnd"/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2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r>
              <w:t xml:space="preserve">Отдельные РКИ и систематические обзоры исследований любого дизайна, за исключением РКИ, с применением </w:t>
            </w:r>
            <w:proofErr w:type="spellStart"/>
            <w:proofErr w:type="gramStart"/>
            <w:r>
              <w:t>мета-анализа</w:t>
            </w:r>
            <w:proofErr w:type="spellEnd"/>
            <w:proofErr w:type="gramEnd"/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3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proofErr w:type="spellStart"/>
            <w:r>
              <w:t>Нерандомизированные</w:t>
            </w:r>
            <w:proofErr w:type="spellEnd"/>
            <w:r>
              <w:t xml:space="preserve"> сравнительные исследования, в т.ч. </w:t>
            </w:r>
            <w:proofErr w:type="spellStart"/>
            <w:r>
              <w:t>когортные</w:t>
            </w:r>
            <w:proofErr w:type="spellEnd"/>
            <w:r>
              <w:t xml:space="preserve"> исследования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lastRenderedPageBreak/>
              <w:t>4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proofErr w:type="spellStart"/>
            <w:r>
              <w:t>Несравнительные</w:t>
            </w:r>
            <w:proofErr w:type="spellEnd"/>
            <w:r>
              <w:t xml:space="preserve"> исследования, описание клинического случая или серии случаев, исследования "случай-контроль"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5</w:t>
            </w:r>
          </w:p>
        </w:tc>
        <w:tc>
          <w:tcPr>
            <w:tcW w:w="7766" w:type="dxa"/>
          </w:tcPr>
          <w:p w:rsidR="009F4F64" w:rsidRDefault="009F4F64">
            <w:pPr>
              <w:pStyle w:val="ConsPlusNormal"/>
              <w:jc w:val="both"/>
            </w:pPr>
            <w: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Таблица 3. 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p w:rsidR="009F4F64" w:rsidRDefault="009F4F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03"/>
        <w:gridCol w:w="7766"/>
      </w:tblGrid>
      <w:tr w:rsidR="009F4F64">
        <w:tc>
          <w:tcPr>
            <w:tcW w:w="1303" w:type="dxa"/>
          </w:tcPr>
          <w:p w:rsidR="009F4F64" w:rsidRDefault="009F4F64">
            <w:pPr>
              <w:pStyle w:val="ConsPlusNormal"/>
              <w:jc w:val="center"/>
            </w:pPr>
            <w:r>
              <w:t>УУР</w:t>
            </w:r>
          </w:p>
        </w:tc>
        <w:tc>
          <w:tcPr>
            <w:tcW w:w="7766" w:type="dxa"/>
            <w:vAlign w:val="bottom"/>
          </w:tcPr>
          <w:p w:rsidR="009F4F64" w:rsidRDefault="009F4F64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r>
              <w:t>A</w:t>
            </w:r>
          </w:p>
        </w:tc>
        <w:tc>
          <w:tcPr>
            <w:tcW w:w="7766" w:type="dxa"/>
            <w:vAlign w:val="bottom"/>
          </w:tcPr>
          <w:p w:rsidR="009F4F64" w:rsidRDefault="009F4F64">
            <w:pPr>
              <w:pStyle w:val="ConsPlusNormal"/>
              <w:jc w:val="both"/>
            </w:pPr>
            <w: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bookmarkStart w:id="12" w:name="P228"/>
            <w:bookmarkEnd w:id="12"/>
            <w:r>
              <w:t>B</w:t>
            </w:r>
          </w:p>
        </w:tc>
        <w:tc>
          <w:tcPr>
            <w:tcW w:w="7766" w:type="dxa"/>
            <w:vAlign w:val="bottom"/>
          </w:tcPr>
          <w:p w:rsidR="009F4F64" w:rsidRDefault="009F4F64">
            <w:pPr>
              <w:pStyle w:val="ConsPlusNormal"/>
              <w:jc w:val="both"/>
            </w:pPr>
            <w: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9F4F64">
        <w:tc>
          <w:tcPr>
            <w:tcW w:w="1303" w:type="dxa"/>
          </w:tcPr>
          <w:p w:rsidR="009F4F64" w:rsidRDefault="009F4F64">
            <w:pPr>
              <w:pStyle w:val="ConsPlusNormal"/>
            </w:pPr>
            <w:bookmarkStart w:id="13" w:name="P230"/>
            <w:bookmarkEnd w:id="13"/>
            <w:r>
              <w:t>C</w:t>
            </w:r>
          </w:p>
        </w:tc>
        <w:tc>
          <w:tcPr>
            <w:tcW w:w="7766" w:type="dxa"/>
            <w:vAlign w:val="bottom"/>
          </w:tcPr>
          <w:p w:rsidR="009F4F64" w:rsidRDefault="009F4F64">
            <w:pPr>
              <w:pStyle w:val="ConsPlusNormal"/>
              <w:jc w:val="both"/>
            </w:pPr>
            <w:proofErr w:type="gramStart"/>
            <w: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  <w:proofErr w:type="gramEnd"/>
          </w:p>
        </w:tc>
      </w:tr>
    </w:tbl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ind w:firstLine="540"/>
        <w:jc w:val="both"/>
        <w:outlineLvl w:val="1"/>
      </w:pPr>
      <w:r>
        <w:t>Порядок обновления клинических рекомендаций.</w:t>
      </w:r>
    </w:p>
    <w:p w:rsidR="009F4F64" w:rsidRDefault="009F4F64">
      <w:pPr>
        <w:pStyle w:val="ConsPlusNormal"/>
        <w:spacing w:before="220"/>
        <w:ind w:firstLine="540"/>
        <w:jc w:val="both"/>
      </w:pPr>
      <w:proofErr w:type="gramStart"/>
      <w:r>
        <w:t>Механизм обновления клинических рекомендаций предусматривает их систематическую актуализацию -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но не чаще 1 раза в 6 месяцев.</w:t>
      </w:r>
      <w:proofErr w:type="gramEnd"/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right"/>
        <w:outlineLvl w:val="0"/>
      </w:pPr>
      <w:r>
        <w:t>Приложение А3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jc w:val="center"/>
      </w:pPr>
      <w:r>
        <w:t>СПРАВОЧНЫЕ МАТЕРИАЛЫ,</w:t>
      </w:r>
    </w:p>
    <w:p w:rsidR="009F4F64" w:rsidRDefault="009F4F64">
      <w:pPr>
        <w:pStyle w:val="ConsPlusTitle"/>
        <w:jc w:val="center"/>
      </w:pPr>
      <w:r>
        <w:t>ВКЛЮЧАЯ СООТВЕТСТВИЕ ПОКАЗАНИЙ К ПРИМЕНЕНИЮ</w:t>
      </w:r>
    </w:p>
    <w:p w:rsidR="009F4F64" w:rsidRDefault="009F4F64">
      <w:pPr>
        <w:pStyle w:val="ConsPlusTitle"/>
        <w:jc w:val="center"/>
      </w:pPr>
      <w:r>
        <w:t>И ПРОТИВОПОКАЗАНИЙ, СПОСОБОВ ПРИМЕНЕНИЯ И ДОЗ ЛЕКАРСТВЕННЫХ</w:t>
      </w:r>
    </w:p>
    <w:p w:rsidR="009F4F64" w:rsidRDefault="009F4F64">
      <w:pPr>
        <w:pStyle w:val="ConsPlusTitle"/>
        <w:jc w:val="center"/>
      </w:pPr>
      <w:r>
        <w:t>ПРЕПАРАТОВ, ИНСТРУКЦИИ ПО ПРИМЕНЕНИЮ</w:t>
      </w:r>
    </w:p>
    <w:p w:rsidR="009F4F64" w:rsidRDefault="009F4F64">
      <w:pPr>
        <w:pStyle w:val="ConsPlusTitle"/>
        <w:jc w:val="center"/>
      </w:pPr>
      <w:r>
        <w:t>ЛЕКАРСТВЕННОГО ПРЕПАРАТА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Данные клинические рекомендации разработаны с учетом следующих нормативно-правовых документов: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 xml:space="preserve">1. </w:t>
      </w:r>
      <w:hyperlink r:id="rId7">
        <w:r>
          <w:rPr>
            <w:color w:val="0000FF"/>
          </w:rPr>
          <w:t>Порядок</w:t>
        </w:r>
      </w:hyperlink>
      <w:r>
        <w:t xml:space="preserve"> оказания медицинской помощи по профилю "</w:t>
      </w:r>
      <w:proofErr w:type="spellStart"/>
      <w:r>
        <w:t>дерматовенерология</w:t>
      </w:r>
      <w:proofErr w:type="spellEnd"/>
      <w:r>
        <w:t>", утвержденный Приказом Министерства здравоохранения Российской Федерации N 924н от 15 ноября 2012 г.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right"/>
        <w:outlineLvl w:val="0"/>
      </w:pPr>
      <w:r>
        <w:t>Приложение</w:t>
      </w:r>
      <w:proofErr w:type="gramStart"/>
      <w:r>
        <w:t xml:space="preserve"> Б</w:t>
      </w:r>
      <w:proofErr w:type="gramEnd"/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jc w:val="center"/>
      </w:pPr>
      <w:r>
        <w:t>АЛГОРИТМЫ ДЕЙСТВИЙ ВРАЧА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center"/>
      </w:pPr>
      <w:r>
        <w:rPr>
          <w:noProof/>
          <w:position w:val="-488"/>
        </w:rPr>
        <w:drawing>
          <wp:inline distT="0" distB="0" distL="0" distR="0">
            <wp:extent cx="5554980" cy="6344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634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right"/>
        <w:outlineLvl w:val="0"/>
      </w:pPr>
      <w:r>
        <w:t>Приложение</w:t>
      </w:r>
      <w:proofErr w:type="gramStart"/>
      <w:r>
        <w:t xml:space="preserve"> В</w:t>
      </w:r>
      <w:proofErr w:type="gramEnd"/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jc w:val="center"/>
      </w:pPr>
      <w:r>
        <w:t>ИНФОРМАЦИЯ ДЛЯ ПАЦИЕНТА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1. Рекомендуется соблюдение правил личной гигиены.</w:t>
      </w:r>
    </w:p>
    <w:p w:rsidR="009F4F64" w:rsidRDefault="009F4F64">
      <w:pPr>
        <w:pStyle w:val="ConsPlusNormal"/>
        <w:spacing w:before="220"/>
        <w:ind w:firstLine="540"/>
        <w:jc w:val="both"/>
      </w:pPr>
      <w:r>
        <w:t>2. Рекомендуется ношение хлопчатобумажного белья и носков.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right"/>
        <w:outlineLvl w:val="0"/>
      </w:pPr>
      <w:r>
        <w:t>Приложение Г</w:t>
      </w:r>
      <w:proofErr w:type="gramStart"/>
      <w:r>
        <w:t>1</w:t>
      </w:r>
      <w:proofErr w:type="gramEnd"/>
      <w:r>
        <w:t xml:space="preserve"> - ГN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Title"/>
        <w:jc w:val="center"/>
      </w:pPr>
      <w:r>
        <w:t>ШКАЛЫ ОЦЕНКИ, ВОПРОСНИКИ И ДРУГИЕ ОЦЕНОЧНЫЕ ИНСТРУМЕНТЫ</w:t>
      </w:r>
    </w:p>
    <w:p w:rsidR="009F4F64" w:rsidRDefault="009F4F64">
      <w:pPr>
        <w:pStyle w:val="ConsPlusTitle"/>
        <w:jc w:val="center"/>
      </w:pPr>
      <w:r>
        <w:t>СОСТОЯНИЯ ПАЦИЕНТА, ПРИВЕДЕННЫЕ В КЛИНИЧЕСКИХ РЕКОМЕНДАЦИЯХ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ind w:firstLine="540"/>
        <w:jc w:val="both"/>
      </w:pPr>
      <w:r>
        <w:t>Отсутствуют.</w:t>
      </w: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jc w:val="both"/>
      </w:pPr>
    </w:p>
    <w:p w:rsidR="009F4F64" w:rsidRDefault="009F4F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6ECA" w:rsidRDefault="00C06ECA"/>
    <w:sectPr w:rsidR="00C06ECA" w:rsidSect="00283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F64"/>
    <w:rsid w:val="009F4F64"/>
    <w:rsid w:val="00C06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4F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F4F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F4F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4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F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BCCF224A3D904A0625C81D16988436569D3F059FEE27E2A0888BE40B0AECB57ADE285F670FEDAB6746B01ABBDB37988D19B83D7A37C6073L6C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CCF224A3D904A0625C88C86E8843656DD0FB57F8E07E2A0888BE40B0AECB57BFE2DDFA72F7C4B6747E57FAFBLEC5L" TargetMode="External"/><Relationship Id="rId5" Type="http://schemas.openxmlformats.org/officeDocument/2006/relationships/hyperlink" Target="consultantplus://offline/ref=5BCCF224A3D904A0625C88C86E8843656DD0FB57F8E07E2A0888BE40B0AECB57BFE2DDFA72F7C4B6747E57FAFBLEC5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2717</Words>
  <Characters>15490</Characters>
  <Application>Microsoft Office Word</Application>
  <DocSecurity>0</DocSecurity>
  <Lines>129</Lines>
  <Paragraphs>36</Paragraphs>
  <ScaleCrop>false</ScaleCrop>
  <Company/>
  <LinksUpToDate>false</LinksUpToDate>
  <CharactersWithSpaces>18171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Babanova</dc:creator>
  <cp:lastModifiedBy>Babanova</cp:lastModifiedBy>
  <cp:revision>1</cp:revision>
  <dcterms:created xsi:type="dcterms:W3CDTF">2023-12-29T11:02:00Z</dcterms:created>
  <dcterms:modified xsi:type="dcterms:W3CDTF">2023-12-29T11:02:00Z</dcterms:modified>
</cp:coreProperties>
</file>