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B8C" w:rsidRDefault="00261B8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61B8C" w:rsidRDefault="00261B8C">
      <w:pPr>
        <w:pStyle w:val="ConsPlusNormal"/>
        <w:ind w:firstLine="540"/>
        <w:jc w:val="both"/>
        <w:outlineLvl w:val="0"/>
      </w:pPr>
    </w:p>
    <w:p w:rsidR="00261B8C" w:rsidRDefault="00261B8C">
      <w:pPr>
        <w:pStyle w:val="ConsPlusTitle"/>
        <w:jc w:val="center"/>
        <w:outlineLvl w:val="0"/>
      </w:pPr>
      <w:r>
        <w:t>МИНИСТЕРСТВО ЗДРАВООХРАНЕНИЯ РОССИЙСКОЙ ФЕДЕРАЦИИ</w:t>
      </w:r>
    </w:p>
    <w:p w:rsidR="00261B8C" w:rsidRDefault="00261B8C">
      <w:pPr>
        <w:pStyle w:val="ConsPlusTitle"/>
        <w:jc w:val="center"/>
      </w:pPr>
    </w:p>
    <w:p w:rsidR="00261B8C" w:rsidRDefault="00261B8C">
      <w:pPr>
        <w:pStyle w:val="ConsPlusTitle"/>
        <w:jc w:val="center"/>
      </w:pPr>
      <w:r>
        <w:t>КЛИНИЧЕСКИЕ РЕКОМЕНДАЦИИ</w:t>
      </w:r>
    </w:p>
    <w:p w:rsidR="00261B8C" w:rsidRDefault="00261B8C">
      <w:pPr>
        <w:pStyle w:val="ConsPlusTitle"/>
        <w:jc w:val="center"/>
      </w:pPr>
    </w:p>
    <w:p w:rsidR="00261B8C" w:rsidRDefault="00261B8C">
      <w:pPr>
        <w:pStyle w:val="ConsPlusTitle"/>
        <w:jc w:val="center"/>
      </w:pPr>
      <w:r>
        <w:t>РАК ПЕЧЕНИ (ГЕПАТОЦЕЛЛЮЛЯРНЫЙ)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 xml:space="preserve">Кодирование по Международной статистической классификации болезней и проблем, связанных со здоровьем: </w:t>
      </w:r>
      <w:hyperlink r:id="rId5">
        <w:r>
          <w:rPr>
            <w:color w:val="0000FF"/>
          </w:rPr>
          <w:t>C22.0</w:t>
        </w:r>
      </w:hyperlink>
    </w:p>
    <w:p w:rsidR="00261B8C" w:rsidRDefault="00261B8C">
      <w:pPr>
        <w:pStyle w:val="ConsPlusNormal"/>
        <w:spacing w:before="220"/>
        <w:ind w:firstLine="540"/>
        <w:jc w:val="both"/>
      </w:pPr>
      <w:r>
        <w:t>Год утверждения (частота пересмотра): 2020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Возрастная категория: Взрослые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Год окончания действия: 2022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ID: 1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Разработчик клинической рекомендации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- Ассоциация онкологов России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Общероссийская общественная организация "Российское общество клинической онкологии"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Общероссийская общественная организация содействия развитию лучевой диагностики и терапии "Российское общество рентгенологов и радиологов"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Одобрено Научно-практическим Советом Минздрава РФ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Ключевые слова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Список сокращений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АЛТ - аланинаминотрансфераза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АСТ - аспартатаминотрансфераза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АФП - альфа-фетопротеин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ГЦР - гепатоцеллюлярный рак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КТ - компьютерная томография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ЛФК - лечебная физкультура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МРТ - магнитно-резонансная томография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ТАХЭ - трансартериальная химиоэмболизация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УЗИ - ультразвуковое исследование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AASLD - American Association for the Study of Liver Disease, Американская ассоциация по изучению заболеваний печени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 w:rsidRPr="00261B8C">
        <w:rPr>
          <w:lang w:val="en-US"/>
        </w:rPr>
        <w:lastRenderedPageBreak/>
        <w:t xml:space="preserve">EASL - The European Association for the Study of the Liver, </w:t>
      </w:r>
      <w:r>
        <w:t>Европейская</w:t>
      </w:r>
      <w:r w:rsidRPr="00261B8C">
        <w:rPr>
          <w:lang w:val="en-US"/>
        </w:rPr>
        <w:t xml:space="preserve"> </w:t>
      </w:r>
      <w:r>
        <w:t>ассоциация</w:t>
      </w:r>
      <w:r w:rsidRPr="00261B8C">
        <w:rPr>
          <w:lang w:val="en-US"/>
        </w:rPr>
        <w:t xml:space="preserve"> </w:t>
      </w:r>
      <w:r>
        <w:t>по</w:t>
      </w:r>
      <w:r w:rsidRPr="00261B8C">
        <w:rPr>
          <w:lang w:val="en-US"/>
        </w:rPr>
        <w:t xml:space="preserve"> </w:t>
      </w:r>
      <w:r>
        <w:t>изучению</w:t>
      </w:r>
      <w:r w:rsidRPr="00261B8C">
        <w:rPr>
          <w:lang w:val="en-US"/>
        </w:rPr>
        <w:t xml:space="preserve"> </w:t>
      </w:r>
      <w:r>
        <w:t>печени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 w:rsidRPr="00261B8C">
        <w:rPr>
          <w:lang w:val="en-US"/>
        </w:rPr>
        <w:t xml:space="preserve">BCLC - Barcelona Clinic Liver Cancer (classification), </w:t>
      </w:r>
      <w:r>
        <w:t>Барселонская</w:t>
      </w:r>
      <w:r w:rsidRPr="00261B8C">
        <w:rPr>
          <w:lang w:val="en-US"/>
        </w:rPr>
        <w:t xml:space="preserve"> </w:t>
      </w:r>
      <w:r>
        <w:t>система</w:t>
      </w:r>
      <w:r w:rsidRPr="00261B8C">
        <w:rPr>
          <w:lang w:val="en-US"/>
        </w:rPr>
        <w:t xml:space="preserve"> </w:t>
      </w:r>
      <w:r>
        <w:t>стадирования</w:t>
      </w:r>
      <w:r w:rsidRPr="00261B8C">
        <w:rPr>
          <w:lang w:val="en-US"/>
        </w:rPr>
        <w:t xml:space="preserve"> </w:t>
      </w:r>
      <w:r>
        <w:t>рака</w:t>
      </w:r>
      <w:r w:rsidRPr="00261B8C">
        <w:rPr>
          <w:lang w:val="en-US"/>
        </w:rPr>
        <w:t xml:space="preserve"> </w:t>
      </w:r>
      <w:r>
        <w:t>печени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 w:rsidRPr="00261B8C">
        <w:rPr>
          <w:lang w:val="en-US"/>
        </w:rPr>
        <w:t xml:space="preserve">ECOG PS - Eastern Cooperative Oncology Group Performance Status, </w:t>
      </w:r>
      <w:r>
        <w:t>шкала</w:t>
      </w:r>
      <w:r w:rsidRPr="00261B8C">
        <w:rPr>
          <w:lang w:val="en-US"/>
        </w:rPr>
        <w:t xml:space="preserve"> </w:t>
      </w:r>
      <w:r>
        <w:t>оценки</w:t>
      </w:r>
      <w:r w:rsidRPr="00261B8C">
        <w:rPr>
          <w:lang w:val="en-US"/>
        </w:rPr>
        <w:t xml:space="preserve"> </w:t>
      </w:r>
      <w:r>
        <w:t>общего</w:t>
      </w:r>
      <w:r w:rsidRPr="00261B8C">
        <w:rPr>
          <w:lang w:val="en-US"/>
        </w:rPr>
        <w:t xml:space="preserve"> </w:t>
      </w:r>
      <w:r>
        <w:t>состояния</w:t>
      </w:r>
      <w:r w:rsidRPr="00261B8C">
        <w:rPr>
          <w:lang w:val="en-US"/>
        </w:rPr>
        <w:t xml:space="preserve"> </w:t>
      </w:r>
      <w:r>
        <w:t>пациента</w:t>
      </w:r>
      <w:r w:rsidRPr="00261B8C">
        <w:rPr>
          <w:lang w:val="en-US"/>
        </w:rPr>
        <w:t xml:space="preserve">, </w:t>
      </w:r>
      <w:r>
        <w:t>разработанная</w:t>
      </w:r>
      <w:r w:rsidRPr="00261B8C">
        <w:rPr>
          <w:lang w:val="en-US"/>
        </w:rPr>
        <w:t xml:space="preserve"> </w:t>
      </w:r>
      <w:r>
        <w:t>Восточной</w:t>
      </w:r>
      <w:r w:rsidRPr="00261B8C">
        <w:rPr>
          <w:lang w:val="en-US"/>
        </w:rPr>
        <w:t xml:space="preserve"> </w:t>
      </w:r>
      <w:r>
        <w:t>объединенной</w:t>
      </w:r>
      <w:r w:rsidRPr="00261B8C">
        <w:rPr>
          <w:lang w:val="en-US"/>
        </w:rPr>
        <w:t xml:space="preserve"> </w:t>
      </w:r>
      <w:r>
        <w:t>онкологической</w:t>
      </w:r>
      <w:r w:rsidRPr="00261B8C">
        <w:rPr>
          <w:lang w:val="en-US"/>
        </w:rPr>
        <w:t xml:space="preserve"> </w:t>
      </w:r>
      <w:r>
        <w:t>группой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 w:rsidRPr="00261B8C">
        <w:rPr>
          <w:lang w:val="en-US"/>
        </w:rPr>
        <w:t>LI-RADS - Liver Imaging Reporting and Data System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 w:rsidRPr="00261B8C">
        <w:rPr>
          <w:lang w:val="en-US"/>
        </w:rPr>
        <w:t xml:space="preserve">RECIST - Response Evaluation Criteria in Solid Tumours, </w:t>
      </w:r>
      <w:r>
        <w:t>критерии</w:t>
      </w:r>
      <w:r w:rsidRPr="00261B8C">
        <w:rPr>
          <w:lang w:val="en-US"/>
        </w:rPr>
        <w:t xml:space="preserve"> </w:t>
      </w:r>
      <w:r>
        <w:t>оценки</w:t>
      </w:r>
      <w:r w:rsidRPr="00261B8C">
        <w:rPr>
          <w:lang w:val="en-US"/>
        </w:rPr>
        <w:t xml:space="preserve"> </w:t>
      </w:r>
      <w:r>
        <w:t>ответа</w:t>
      </w:r>
      <w:r w:rsidRPr="00261B8C">
        <w:rPr>
          <w:lang w:val="en-US"/>
        </w:rPr>
        <w:t xml:space="preserve"> </w:t>
      </w:r>
      <w:r>
        <w:t>солидных</w:t>
      </w:r>
      <w:r w:rsidRPr="00261B8C">
        <w:rPr>
          <w:lang w:val="en-US"/>
        </w:rPr>
        <w:t xml:space="preserve"> </w:t>
      </w:r>
      <w:r>
        <w:t>опухолей</w:t>
      </w:r>
      <w:r w:rsidRPr="00261B8C">
        <w:rPr>
          <w:lang w:val="en-US"/>
        </w:rPr>
        <w:t xml:space="preserve"> </w:t>
      </w:r>
      <w:r>
        <w:t>на</w:t>
      </w:r>
      <w:r w:rsidRPr="00261B8C">
        <w:rPr>
          <w:lang w:val="en-US"/>
        </w:rPr>
        <w:t xml:space="preserve"> </w:t>
      </w:r>
      <w:r>
        <w:t>лечение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 w:rsidRPr="00261B8C">
        <w:rPr>
          <w:lang w:val="en-US"/>
        </w:rPr>
        <w:t xml:space="preserve">mRECIST - modified Response Evaluation Criteria in Solid Tumors, </w:t>
      </w:r>
      <w:r>
        <w:t>модифицированные</w:t>
      </w:r>
      <w:r w:rsidRPr="00261B8C">
        <w:rPr>
          <w:lang w:val="en-US"/>
        </w:rPr>
        <w:t xml:space="preserve"> </w:t>
      </w:r>
      <w:r>
        <w:t>критерии</w:t>
      </w:r>
      <w:r w:rsidRPr="00261B8C">
        <w:rPr>
          <w:lang w:val="en-US"/>
        </w:rPr>
        <w:t xml:space="preserve"> </w:t>
      </w:r>
      <w:r>
        <w:t>оценки</w:t>
      </w:r>
      <w:r w:rsidRPr="00261B8C">
        <w:rPr>
          <w:lang w:val="en-US"/>
        </w:rPr>
        <w:t xml:space="preserve"> </w:t>
      </w:r>
      <w:r>
        <w:t>ответа</w:t>
      </w:r>
      <w:r w:rsidRPr="00261B8C">
        <w:rPr>
          <w:lang w:val="en-US"/>
        </w:rPr>
        <w:t xml:space="preserve"> </w:t>
      </w:r>
      <w:r>
        <w:t>солидных</w:t>
      </w:r>
      <w:r w:rsidRPr="00261B8C">
        <w:rPr>
          <w:lang w:val="en-US"/>
        </w:rPr>
        <w:t xml:space="preserve"> </w:t>
      </w:r>
      <w:r>
        <w:t>опухолей</w:t>
      </w:r>
      <w:r w:rsidRPr="00261B8C">
        <w:rPr>
          <w:lang w:val="en-US"/>
        </w:rPr>
        <w:t xml:space="preserve"> </w:t>
      </w:r>
      <w:r>
        <w:t>на</w:t>
      </w:r>
      <w:r w:rsidRPr="00261B8C">
        <w:rPr>
          <w:lang w:val="en-US"/>
        </w:rPr>
        <w:t xml:space="preserve"> </w:t>
      </w:r>
      <w:r>
        <w:t>лечение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 w:rsidRPr="00261B8C">
        <w:rPr>
          <w:lang w:val="en-US"/>
        </w:rPr>
        <w:t xml:space="preserve">PD1/PD-L1 - programmed cell death 1/programmed cell death 1 ligand, </w:t>
      </w:r>
      <w:r>
        <w:t>мембранный</w:t>
      </w:r>
      <w:r w:rsidRPr="00261B8C">
        <w:rPr>
          <w:lang w:val="en-US"/>
        </w:rPr>
        <w:t xml:space="preserve"> </w:t>
      </w:r>
      <w:r>
        <w:t>белок</w:t>
      </w:r>
      <w:r w:rsidRPr="00261B8C">
        <w:rPr>
          <w:lang w:val="en-US"/>
        </w:rPr>
        <w:t xml:space="preserve"> </w:t>
      </w:r>
      <w:r>
        <w:t>запрограммированной</w:t>
      </w:r>
      <w:r w:rsidRPr="00261B8C">
        <w:rPr>
          <w:lang w:val="en-US"/>
        </w:rPr>
        <w:t xml:space="preserve"> </w:t>
      </w:r>
      <w:r>
        <w:t>смерти</w:t>
      </w:r>
      <w:r w:rsidRPr="00261B8C">
        <w:rPr>
          <w:lang w:val="en-US"/>
        </w:rPr>
        <w:t xml:space="preserve"> </w:t>
      </w:r>
      <w:r>
        <w:t>клеток</w:t>
      </w:r>
      <w:r w:rsidRPr="00261B8C">
        <w:rPr>
          <w:lang w:val="en-US"/>
        </w:rPr>
        <w:t>/</w:t>
      </w:r>
      <w:r>
        <w:t>его</w:t>
      </w:r>
      <w:r w:rsidRPr="00261B8C">
        <w:rPr>
          <w:lang w:val="en-US"/>
        </w:rPr>
        <w:t xml:space="preserve"> </w:t>
      </w:r>
      <w:r>
        <w:t>лиганд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TNM - (аббревиатура от tumor, nodus и metastasis) - международная классификация стадий злокачественных новообразований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** - жизненно необходимые и важнейшие лекарственные препараты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Термины и определения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Блокатор CTLA4 - моноклональное антитело, блокирующее антиген цитотоксических T-лимфоцитов 4-го типа.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Блокатор PD1 - моноклональное антитело, блокирующее рецептор программируемой смерти 1.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Класс цирроза по Child-Pugh - степень выраженности нарушения функции печени (A, B, C), рассчитываемая по сумме баллов.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Компьютерная томография - метод послойной внутренней диагностики.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Магнитно-резонансная томография - метод послойной внутренней диагностики с помощью эффекта ядерного магнитного резонанса.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Позитронно-эмиссионная томография - метод радионуклидной диагностики.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Терапия "понижения стадии" - down-staging, направлена на уменьшение внутрипеченочной распространенности опухолевого процесса при отсутствии внепеченочных изменений.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Трансартериальная химиоэмболизация - метод локального лечения внутрипеченочных опухолей с использованием эмболизирующего агента в сочетании с цитостатиком.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Трансартериальная эмболизация - метод локального лечения внутрипеченочных опухолей с использованием эмболизирующего агента в сочетании с изотопом.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Ультразвуковое исследование - неинвазивное исследование организма с помощью ультразвуковых волн.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Bridge-терапия - терапия "ожидания", которая направлена на замедление прогрессирования опухоли и уменьшение вероятности выбытия из листа ожидания трансплантации.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CTLA4 - антиген цитотоксических T-лимфоцитов 4-го типа, также известен как CD152. Выполняет функции рецептора, лигандом служит молекула B7.1 или B7.2.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Response Evaluation Criteria in Solid Tumours - набор стандартизированных критериев, используемых для оценки изменения размеров опухоли в ответ на проводимую терапию.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Modified Response Evaluation Criteria in Solid Tumors - набор стандартизированных критериев, используемых для оценки изменения размеров опухоли в ответ на проводимую терапию методом измерения васкуляризованного компонента опухолевого узла.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Предреабилитация (prehabilitation) - реабилитация с момента постановки диагноза до начала лечения (хирургического лечения/химиотерапии/лучевой терапии).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Первый этап реабилитации - реабилитация в период специализированного лечения основного заболевания (включая хирургическое лечение/химиотерапию/лучевую терапию) в отделениях медицинских организаций по профилю основного заболевания.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Второй этап реабилитации - реабилитация в стационарных условиях медицинских организаций (реабилитационных центров, отделений реабилитации), в ранний восстановительный период, поздний реабилитационный период, период остаточных явлений заболевания.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Третий этап реабилитации - реабилитация в ранний и поздний реабилитационные периоды, период остаточных явлений заболевания в отделениях (кабинетах) реабилитации, физиотерапии, лечебной физкультуры, рефлексотерапии, мануальной терапии, психотерапии, медицинской психологии, оказывающих медицинскую помощь в амбулаторных условиях, дневных стационарах, а также выездными бригадами на дому (в том числе в условиях санаторно-курортных организаций), кабинетах логопеда (учителя-дефектолога).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1. Краткая информация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1.1 Определение заболевания или состояния (группы заболеваний или состояний)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Гепатоцеллюлярный рак (ГЦР) (гепатоцеллюлярная карцинома, печеночно-клеточный рак) - наиболее частая (около 85% случаев) злокачественная опухоль печени, исходящая из гепатоцитов. Реже встречается холангиоцеллюлярный рак (холангиокарцинома) - злокачественная опухоль, исходящая из эпителия внутрипеченочных желчных протоков, а также смешанные гепатохолангиокарциномы, фиброламеллярная карцинома, которая формально классифицируется как вариант печеночно-клеточного рака.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1.2 Этиология и патогенез заболевания или состояния (группы заболеваний или состояний)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Гепатоцеллюлярный рак развивается чаще всего на фоне цирроза печени (около 80% случаев) или хронического воспаления любой этиологии: вирусных гепатитов B и C, алкогольного и неалкогольного стеатогепатита, первичного склерозирующего и аутоиммунного гепатита, вследствие экзогенных токсических повреждений печени (под действием афлотоксинов, винилхлорида, на фоне применения стероидных гормонов), а также при наследственных заболеваниях (дефиците альфа-1-антитрипсина, тирозинемии и гемохроматозе) и нарушениях состояния иммунной системы, при которых происходит повреждение печени с исходом в хронический гепатит и цирроз. Менее 10% случаев ГЦР развивается в здоровой ткани печени.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1.3 Эпидемиология заболевания или состояния (группы заболеваний или состояний)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В Российской Федерации ГЦР встречается достаточно редко. В 2014 г. в России зарегистрировано 7 252 новых случая ГЦР и рака внутрипеченочных желчных протоков, умерло по </w:t>
      </w:r>
      <w:r>
        <w:lastRenderedPageBreak/>
        <w:t xml:space="preserve">этой причине 9 268 пациентов </w:t>
      </w:r>
      <w:hyperlink w:anchor="P512">
        <w:r>
          <w:rPr>
            <w:color w:val="0000FF"/>
          </w:rPr>
          <w:t>[1]</w:t>
        </w:r>
      </w:hyperlink>
      <w:r>
        <w:t>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1.4 Особенности кодирования заболевания или состояния (группы заболеваний или состояний) по Международной статистической классификации болезни и проблем, связанных со здоровьем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Первичный рак печени </w:t>
      </w:r>
      <w:hyperlink r:id="rId6">
        <w:r>
          <w:rPr>
            <w:color w:val="0000FF"/>
          </w:rPr>
          <w:t>(C22)</w:t>
        </w:r>
      </w:hyperlink>
    </w:p>
    <w:p w:rsidR="00261B8C" w:rsidRDefault="00261B8C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C22</w:t>
        </w:r>
      </w:hyperlink>
      <w:r>
        <w:t xml:space="preserve"> Злокачественное новообразование печени и внутрипеченочных желчных протоков.</w:t>
      </w:r>
    </w:p>
    <w:p w:rsidR="00261B8C" w:rsidRDefault="00261B8C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C22.0</w:t>
        </w:r>
      </w:hyperlink>
      <w:r>
        <w:t xml:space="preserve"> Печеночно-клеточный рак. Гепатоцеллюлярный рак.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1.5 Классификация заболевания или состояния (группы заболеваний или состояний)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3"/>
      </w:pPr>
      <w:r>
        <w:t>1.5.1 Международная гистологическая классификация (2010)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Эпителиальные гепатоцеллюлярные доброкачественные опухоли: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Гепатоцеллюлярная аденома 8170/0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Фокальная нодулярная гиперплазия 8170/0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Предраковые или ассоциированные со злокачественными новообразования: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Крупноклеточные изменения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Мелкоклеточные изменения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Диспластические узлы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низкой степени злокачественности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высокой степени злокачественности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Злокачественные гепатоцеллюлярные опухоли: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Гепатоцеллюлярный рак 8170/3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Гепатоцеллюлярный рак (фиброламеллярный вариант) 8171/3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Гепатобластома, эпителиальные варианты 8171/3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Недифференцированный рак 8020/3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Мезенхимальные опухоли: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Доброкачественные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Ангиомиолипома (PECома) 8860/0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Гемангиома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Кавернозная гемангиома 9131/0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Инфантильная гемангиома 9131/0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Воспалительная псевдоопухоль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Лимфангиома 9170/0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Мезенхимальная гамартома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Солитарная фиброзная опухоль 8815/0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Злокачественные опухоли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Ангиосаркома 9120/3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Эмбриональная саркома 8991/3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Эпителиоидная гемангиоэндотелиома 9133/3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Саркома Капоши 9140/3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Лейомиосаркома 8890/3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Рабдомиосаркома 8900/3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Синовиальная саркома 9040/3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Смешанные злокачественные опухоли неясного происхождения: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Смешанный гепатохолангиоцеллюлярный рак 8180/3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Карциносаркома 8980/3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Герминогенные опухоли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Лимфомы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Метастатические опухоли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3"/>
      </w:pPr>
      <w:r>
        <w:t>1.5.2. Стадирование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4"/>
      </w:pPr>
      <w:r>
        <w:t xml:space="preserve">Стадирование по системе TNM (8-й редакции, 2017 г.) </w:t>
      </w:r>
      <w:hyperlink w:anchor="P513">
        <w:r>
          <w:rPr>
            <w:color w:val="0000FF"/>
          </w:rPr>
          <w:t>[2]</w:t>
        </w:r>
      </w:hyperlink>
    </w:p>
    <w:p w:rsidR="00261B8C" w:rsidRDefault="00261B8C">
      <w:pPr>
        <w:pStyle w:val="ConsPlusNormal"/>
        <w:spacing w:before="220"/>
        <w:ind w:firstLine="540"/>
        <w:jc w:val="both"/>
      </w:pPr>
      <w:r>
        <w:t>T - первичная опухоль.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T</w:t>
      </w:r>
      <w:r>
        <w:rPr>
          <w:vertAlign w:val="subscript"/>
        </w:rPr>
        <w:t>X</w:t>
      </w:r>
      <w:r>
        <w:t xml:space="preserve"> - оценить первичную опухоль невозможно.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T0 - признаков первичной опухоли нет.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T1 - одиночная опухоль.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T1a - одиночная опухоль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 см в наибольшем измерении с сосудистой инвазией или без нее.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T1b - одиночная опухоль &gt; 2 см в наибольшем измерении без сосудистой инвазии.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T2 - одиночная опухоль размером &gt; 2 см с сосудистой инвазией или множественные опухоли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 см в наибольшем измерении.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T3 - множественные опухоли, в том числе хотя бы одна опухоль &gt; 5 см в наибольшем измерении.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T4 - одиночная опухоль или множественные опухоли любого размера с прорастанием в </w:t>
      </w:r>
      <w:r>
        <w:lastRenderedPageBreak/>
        <w:t>крупную ветвь воротной вены либо в печеночную вену, или с прорастанием в соседние органы, включая диафрагму (кроме желчного пузыря), или с прорастанием в висцеральную брюшину.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N - вовлечение регионарных лимфатических узлов. Регионарными лимфатическими узлами являются лимфатические узлы ворот печени (расположенные в печеночно-двенадцатиперстной связке).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X</w:t>
      </w:r>
      <w:r>
        <w:t xml:space="preserve"> - недостаточно данных для оценки состояния регионарных лимфатических узлов.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N0 - нет признаков метастатического поражения регионарных лимфатических узлов.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N1 - имеется поражение регионарных лимфатических узлов метастазами.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M - отдаленные метастазы.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X</w:t>
      </w:r>
      <w:r>
        <w:t xml:space="preserve"> - недостаточно данных для определения отдаленных метастазов.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M0 - отдаленных метастазов нет.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M1 - имеются отдаленные метастазы.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pTNM - патогистологическая классификация.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Требования к определению категорий pT, pN, pT соответствуют требованиям к определению категорий T, N, M </w:t>
      </w:r>
      <w:hyperlink w:anchor="P152">
        <w:r>
          <w:rPr>
            <w:color w:val="0000FF"/>
          </w:rPr>
          <w:t>(таблица 1)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G - гистопатологическая дифференцировка.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x</w:t>
      </w:r>
      <w:r>
        <w:t xml:space="preserve"> - степень дифференцировки не может быть установлена.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1</w:t>
      </w:r>
      <w:r>
        <w:t xml:space="preserve"> - высокая степень дифференцировки.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2</w:t>
      </w:r>
      <w:r>
        <w:t xml:space="preserve"> - средняя степень дифференцировки.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3</w:t>
      </w:r>
      <w:r>
        <w:t xml:space="preserve"> - низкая степень дифференцировки.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4</w:t>
      </w:r>
      <w:r>
        <w:t xml:space="preserve"> - недифференцированные опухоли.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5"/>
      </w:pPr>
      <w:bookmarkStart w:id="0" w:name="P152"/>
      <w:bookmarkEnd w:id="0"/>
      <w:r>
        <w:t>Таблица 1. Группировка гепатоцеллюлярных карцином по стадиям (UICC)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37"/>
        <w:gridCol w:w="2607"/>
        <w:gridCol w:w="2097"/>
        <w:gridCol w:w="1927"/>
      </w:tblGrid>
      <w:tr w:rsidR="00261B8C">
        <w:tc>
          <w:tcPr>
            <w:tcW w:w="2437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Стадия</w:t>
            </w:r>
          </w:p>
        </w:tc>
        <w:tc>
          <w:tcPr>
            <w:tcW w:w="2607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T</w:t>
            </w:r>
          </w:p>
        </w:tc>
        <w:tc>
          <w:tcPr>
            <w:tcW w:w="2097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27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M</w:t>
            </w:r>
          </w:p>
        </w:tc>
      </w:tr>
      <w:tr w:rsidR="00261B8C">
        <w:tc>
          <w:tcPr>
            <w:tcW w:w="2437" w:type="dxa"/>
          </w:tcPr>
          <w:p w:rsidR="00261B8C" w:rsidRDefault="00261B8C">
            <w:pPr>
              <w:pStyle w:val="ConsPlusNormal"/>
            </w:pPr>
            <w:r>
              <w:t>IA</w:t>
            </w:r>
          </w:p>
        </w:tc>
        <w:tc>
          <w:tcPr>
            <w:tcW w:w="2607" w:type="dxa"/>
          </w:tcPr>
          <w:p w:rsidR="00261B8C" w:rsidRDefault="00261B8C">
            <w:pPr>
              <w:pStyle w:val="ConsPlusNormal"/>
            </w:pPr>
            <w:r>
              <w:t>T1a</w:t>
            </w:r>
          </w:p>
        </w:tc>
        <w:tc>
          <w:tcPr>
            <w:tcW w:w="2097" w:type="dxa"/>
          </w:tcPr>
          <w:p w:rsidR="00261B8C" w:rsidRDefault="00261B8C">
            <w:pPr>
              <w:pStyle w:val="ConsPlusNormal"/>
            </w:pPr>
            <w:r>
              <w:t>N0</w:t>
            </w:r>
          </w:p>
        </w:tc>
        <w:tc>
          <w:tcPr>
            <w:tcW w:w="1927" w:type="dxa"/>
          </w:tcPr>
          <w:p w:rsidR="00261B8C" w:rsidRDefault="00261B8C">
            <w:pPr>
              <w:pStyle w:val="ConsPlusNormal"/>
            </w:pPr>
            <w:r>
              <w:t>M0</w:t>
            </w:r>
          </w:p>
        </w:tc>
      </w:tr>
      <w:tr w:rsidR="00261B8C">
        <w:tc>
          <w:tcPr>
            <w:tcW w:w="2437" w:type="dxa"/>
          </w:tcPr>
          <w:p w:rsidR="00261B8C" w:rsidRDefault="00261B8C">
            <w:pPr>
              <w:pStyle w:val="ConsPlusNormal"/>
            </w:pPr>
            <w:r>
              <w:t>IB</w:t>
            </w:r>
          </w:p>
        </w:tc>
        <w:tc>
          <w:tcPr>
            <w:tcW w:w="2607" w:type="dxa"/>
          </w:tcPr>
          <w:p w:rsidR="00261B8C" w:rsidRDefault="00261B8C">
            <w:pPr>
              <w:pStyle w:val="ConsPlusNormal"/>
            </w:pPr>
            <w:r>
              <w:t>T1b</w:t>
            </w:r>
          </w:p>
        </w:tc>
        <w:tc>
          <w:tcPr>
            <w:tcW w:w="2097" w:type="dxa"/>
          </w:tcPr>
          <w:p w:rsidR="00261B8C" w:rsidRDefault="00261B8C">
            <w:pPr>
              <w:pStyle w:val="ConsPlusNormal"/>
            </w:pPr>
            <w:r>
              <w:t>N0</w:t>
            </w:r>
          </w:p>
        </w:tc>
        <w:tc>
          <w:tcPr>
            <w:tcW w:w="1927" w:type="dxa"/>
          </w:tcPr>
          <w:p w:rsidR="00261B8C" w:rsidRDefault="00261B8C">
            <w:pPr>
              <w:pStyle w:val="ConsPlusNormal"/>
            </w:pPr>
            <w:r>
              <w:t>M0</w:t>
            </w:r>
          </w:p>
        </w:tc>
      </w:tr>
      <w:tr w:rsidR="00261B8C">
        <w:tc>
          <w:tcPr>
            <w:tcW w:w="2437" w:type="dxa"/>
          </w:tcPr>
          <w:p w:rsidR="00261B8C" w:rsidRDefault="00261B8C">
            <w:pPr>
              <w:pStyle w:val="ConsPlusNormal"/>
            </w:pPr>
            <w:r>
              <w:t>II</w:t>
            </w:r>
          </w:p>
        </w:tc>
        <w:tc>
          <w:tcPr>
            <w:tcW w:w="2607" w:type="dxa"/>
          </w:tcPr>
          <w:p w:rsidR="00261B8C" w:rsidRDefault="00261B8C">
            <w:pPr>
              <w:pStyle w:val="ConsPlusNormal"/>
            </w:pPr>
            <w:r>
              <w:t>T2</w:t>
            </w:r>
          </w:p>
        </w:tc>
        <w:tc>
          <w:tcPr>
            <w:tcW w:w="2097" w:type="dxa"/>
          </w:tcPr>
          <w:p w:rsidR="00261B8C" w:rsidRDefault="00261B8C">
            <w:pPr>
              <w:pStyle w:val="ConsPlusNormal"/>
            </w:pPr>
            <w:r>
              <w:t>N0</w:t>
            </w:r>
          </w:p>
        </w:tc>
        <w:tc>
          <w:tcPr>
            <w:tcW w:w="1927" w:type="dxa"/>
          </w:tcPr>
          <w:p w:rsidR="00261B8C" w:rsidRDefault="00261B8C">
            <w:pPr>
              <w:pStyle w:val="ConsPlusNormal"/>
            </w:pPr>
            <w:r>
              <w:t>M0</w:t>
            </w:r>
          </w:p>
        </w:tc>
      </w:tr>
      <w:tr w:rsidR="00261B8C">
        <w:tc>
          <w:tcPr>
            <w:tcW w:w="2437" w:type="dxa"/>
          </w:tcPr>
          <w:p w:rsidR="00261B8C" w:rsidRDefault="00261B8C">
            <w:pPr>
              <w:pStyle w:val="ConsPlusNormal"/>
            </w:pPr>
            <w:r>
              <w:t>IIIA</w:t>
            </w:r>
          </w:p>
        </w:tc>
        <w:tc>
          <w:tcPr>
            <w:tcW w:w="2607" w:type="dxa"/>
          </w:tcPr>
          <w:p w:rsidR="00261B8C" w:rsidRDefault="00261B8C">
            <w:pPr>
              <w:pStyle w:val="ConsPlusNormal"/>
            </w:pPr>
            <w:r>
              <w:t>T3</w:t>
            </w:r>
          </w:p>
        </w:tc>
        <w:tc>
          <w:tcPr>
            <w:tcW w:w="2097" w:type="dxa"/>
          </w:tcPr>
          <w:p w:rsidR="00261B8C" w:rsidRDefault="00261B8C">
            <w:pPr>
              <w:pStyle w:val="ConsPlusNormal"/>
            </w:pPr>
            <w:r>
              <w:t>N0</w:t>
            </w:r>
          </w:p>
        </w:tc>
        <w:tc>
          <w:tcPr>
            <w:tcW w:w="1927" w:type="dxa"/>
          </w:tcPr>
          <w:p w:rsidR="00261B8C" w:rsidRDefault="00261B8C">
            <w:pPr>
              <w:pStyle w:val="ConsPlusNormal"/>
            </w:pPr>
            <w:r>
              <w:t>M0</w:t>
            </w:r>
          </w:p>
        </w:tc>
      </w:tr>
      <w:tr w:rsidR="00261B8C">
        <w:tc>
          <w:tcPr>
            <w:tcW w:w="2437" w:type="dxa"/>
          </w:tcPr>
          <w:p w:rsidR="00261B8C" w:rsidRDefault="00261B8C">
            <w:pPr>
              <w:pStyle w:val="ConsPlusNormal"/>
            </w:pPr>
            <w:r>
              <w:t>IIIB</w:t>
            </w:r>
          </w:p>
        </w:tc>
        <w:tc>
          <w:tcPr>
            <w:tcW w:w="2607" w:type="dxa"/>
          </w:tcPr>
          <w:p w:rsidR="00261B8C" w:rsidRDefault="00261B8C">
            <w:pPr>
              <w:pStyle w:val="ConsPlusNormal"/>
            </w:pPr>
            <w:r>
              <w:t>T4</w:t>
            </w:r>
          </w:p>
        </w:tc>
        <w:tc>
          <w:tcPr>
            <w:tcW w:w="2097" w:type="dxa"/>
          </w:tcPr>
          <w:p w:rsidR="00261B8C" w:rsidRDefault="00261B8C">
            <w:pPr>
              <w:pStyle w:val="ConsPlusNormal"/>
            </w:pPr>
            <w:r>
              <w:t>N0</w:t>
            </w:r>
          </w:p>
        </w:tc>
        <w:tc>
          <w:tcPr>
            <w:tcW w:w="1927" w:type="dxa"/>
          </w:tcPr>
          <w:p w:rsidR="00261B8C" w:rsidRDefault="00261B8C">
            <w:pPr>
              <w:pStyle w:val="ConsPlusNormal"/>
            </w:pPr>
            <w:r>
              <w:t>M0</w:t>
            </w:r>
          </w:p>
        </w:tc>
      </w:tr>
      <w:tr w:rsidR="00261B8C">
        <w:tc>
          <w:tcPr>
            <w:tcW w:w="2437" w:type="dxa"/>
          </w:tcPr>
          <w:p w:rsidR="00261B8C" w:rsidRDefault="00261B8C">
            <w:pPr>
              <w:pStyle w:val="ConsPlusNormal"/>
            </w:pPr>
            <w:r>
              <w:t>IVA</w:t>
            </w:r>
          </w:p>
        </w:tc>
        <w:tc>
          <w:tcPr>
            <w:tcW w:w="2607" w:type="dxa"/>
          </w:tcPr>
          <w:p w:rsidR="00261B8C" w:rsidRDefault="00261B8C">
            <w:pPr>
              <w:pStyle w:val="ConsPlusNormal"/>
            </w:pPr>
            <w:r>
              <w:t>Любая T</w:t>
            </w:r>
          </w:p>
        </w:tc>
        <w:tc>
          <w:tcPr>
            <w:tcW w:w="2097" w:type="dxa"/>
          </w:tcPr>
          <w:p w:rsidR="00261B8C" w:rsidRDefault="00261B8C">
            <w:pPr>
              <w:pStyle w:val="ConsPlusNormal"/>
            </w:pPr>
            <w:r>
              <w:t>N1</w:t>
            </w:r>
          </w:p>
        </w:tc>
        <w:tc>
          <w:tcPr>
            <w:tcW w:w="1927" w:type="dxa"/>
          </w:tcPr>
          <w:p w:rsidR="00261B8C" w:rsidRDefault="00261B8C">
            <w:pPr>
              <w:pStyle w:val="ConsPlusNormal"/>
            </w:pPr>
            <w:r>
              <w:t>M0</w:t>
            </w:r>
          </w:p>
        </w:tc>
      </w:tr>
      <w:tr w:rsidR="00261B8C">
        <w:tc>
          <w:tcPr>
            <w:tcW w:w="2437" w:type="dxa"/>
          </w:tcPr>
          <w:p w:rsidR="00261B8C" w:rsidRDefault="00261B8C">
            <w:pPr>
              <w:pStyle w:val="ConsPlusNormal"/>
            </w:pPr>
            <w:r>
              <w:t>IVB</w:t>
            </w:r>
          </w:p>
        </w:tc>
        <w:tc>
          <w:tcPr>
            <w:tcW w:w="2607" w:type="dxa"/>
          </w:tcPr>
          <w:p w:rsidR="00261B8C" w:rsidRDefault="00261B8C">
            <w:pPr>
              <w:pStyle w:val="ConsPlusNormal"/>
            </w:pPr>
            <w:r>
              <w:t>Любая T</w:t>
            </w:r>
          </w:p>
        </w:tc>
        <w:tc>
          <w:tcPr>
            <w:tcW w:w="2097" w:type="dxa"/>
          </w:tcPr>
          <w:p w:rsidR="00261B8C" w:rsidRDefault="00261B8C">
            <w:pPr>
              <w:pStyle w:val="ConsPlusNormal"/>
            </w:pPr>
            <w:r>
              <w:t>Любая N</w:t>
            </w:r>
          </w:p>
        </w:tc>
        <w:tc>
          <w:tcPr>
            <w:tcW w:w="1927" w:type="dxa"/>
          </w:tcPr>
          <w:p w:rsidR="00261B8C" w:rsidRDefault="00261B8C">
            <w:pPr>
              <w:pStyle w:val="ConsPlusNormal"/>
            </w:pPr>
            <w:r>
              <w:t>M1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4"/>
      </w:pPr>
      <w:r>
        <w:t>Стадирование по Барселонской системе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 xml:space="preserve">Барселонская система стадирования рака печени (Barcelona Clinic Liver Cancer (BCLC) classification) - наиболее часто используемая классификация ГЦР, которая учитывает распространенность опухолевого процесса, функциональное состояние печени, объективное состояние пациента и предполагаемую эффективность лечения (см. </w:t>
      </w:r>
      <w:hyperlink w:anchor="P723">
        <w:r>
          <w:rPr>
            <w:color w:val="0000FF"/>
          </w:rPr>
          <w:t>рисунок А1</w:t>
        </w:r>
      </w:hyperlink>
      <w:r>
        <w:t xml:space="preserve"> в приложении А3) </w:t>
      </w:r>
      <w:hyperlink w:anchor="P514">
        <w:r>
          <w:rPr>
            <w:color w:val="0000FF"/>
          </w:rPr>
          <w:t>[3]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Выделяют 5 стадий: от 0 - очень ранней и A - ранней до D - терминальной. Стадии по BCLC, равно как прогноз заболевания и тактика лечения, могут меняться при прогрессировании заболевания либо эффективном лечении. Следует отметить прогностическую значимость классификации для пациентов с ГЦР безотносительно наличия цирроза печени. Важная особенность этой классификации в том, что в ней предложен алгоритм лечения в зависимости от стадии заболевания. В последней редакции этой классификации (2018 г.) вместо классов цирроза A-B по Child-Pugh используется формулировка "сохранная функция печени", что соответствует оценке &lt; 8 баллов по классификации Child-Pugh </w:t>
      </w:r>
      <w:hyperlink w:anchor="P515">
        <w:r>
          <w:rPr>
            <w:color w:val="0000FF"/>
          </w:rPr>
          <w:t>[4]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Очень ранняя стадия (BCLC 0) - солитарная опухоль печени &lt; 2 см в диаметре.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Ранняя стадия (BCLC A) - солитарная опухоль печени любого размера или не более 3 узлов размером до 3 см, не распространяющиеся на магистральные сосуды печени, соседние анатомические структуры, у пациента без опухолеспецифических жалоб в удовлетворительном объективном состоянии (ECOG 0) при сохранной функции печени.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Промежуточная стадия (BCLC B) - случаи изолированного бессимптомного множественного опухолевого поражения печени без макрососудистой инвазии у пациентов в удовлетворительном состоянии (ECOG 0) при сохранной функции печени.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Распространенная стадия (BCLC C) - симптомная опухоль, ухудшающая объективное состояние пациента (ECOG 0-2), любого размера с инвазией или без инвазии в магистральные печеночные сосуды и/или с внепеченочным распространением при сохранной функции печени.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Терминальная стадия (BCLC D) - случаи заболевания со значимым ухудшением объективного состояния (опухоль/цирроз), декомпенсацией цирроза (класс C по Child-Pugh). Но при выявлении малой опухоли (солитарной размером &lt; 5 см или не более 3 узлов размером &lt; 3 см) при соответствии так называемым миланским критериям возможна ортотопическая трансплантация печени.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1.6 Клиническая картина заболевания или состоянию (группы заболеваний или состояний)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Клиническая картина, как правило, имеет скрытый характер, не имеет специфических симптомов. Чаще всего ГЦР обнаруживается на более поздних стадиях. Спектр проявлений может определяться фоновым заболеванием печени, циррозом и осложнением опухолевого процесса.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Основными жалобами являются выраженная общая слабость, вялость, быстрая утомляемость, увеличение размеров живота, дискомофорт и боли в правом подреберье, а также повышение температуры тела, появление отеков нижних конечностей.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Паранеопластические синдромы встречаются у небольшой части пациентов и проявляются гипогликемией, эритроцитозом, гиперкальциемией. В начале развития заболевания симптомы мало выражены. Поэтому пациенты не придают им особого значения, не обращаясь за медицинской помощью. Со временем симптомы нарастают и становятся более ощутимыми: появление болей чаще всего связано с прорастанием анатомических структур, включая магистральные сосуды, с образованием опухолевых тромбов, а также с метастатическим поражением органов.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2. Диагностика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Критерии установления диагноза/состояния - на основании патогномоничных клинико-рентгенологических данных, результатов патолого-анатомического исследования биопсийного или операционного материала, лабораторных исследований, направленных на оценку функции печени и инструментального обследования распространенности опухолевого процесса и выраженности сопутствующих заболеваний.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Чаще всего ГЦР развивается на фоне хронического заболевания печени - цирроза печени, вирусного гепатита, стеатогепатита - которое, как и опухолевый процесс, может проявляться специфическими симптомами, нуждаться в специфической терапии, конкурентно влиять на качество жизни и ухудшать выживаемость. В рамках мультидисциплинарной оценки состояния пациента необходимо оценить функциональные резервы печени, выраженность фоновой патологии печени и распространенность опухолевого процесса.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2.1 Жалобы и анамнез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при сборе жалоб и анамнеза активное выявление факторов риска развития хронических заболеваний печени (злоупотребление алкоголем, прием наркотиков, перенесенный вирусный гепатит(ы) и признаки метаболического синдрома, включающего ожирение, диабет, артериальную гипертензию) с целью выявления факторов, которые могут повлиять на выбор тактики лечения [</w:t>
      </w:r>
      <w:hyperlink w:anchor="P514">
        <w:r>
          <w:rPr>
            <w:color w:val="0000FF"/>
          </w:rPr>
          <w:t>3</w:t>
        </w:r>
      </w:hyperlink>
      <w:r>
        <w:t xml:space="preserve">, </w:t>
      </w:r>
      <w:hyperlink w:anchor="P516">
        <w:r>
          <w:rPr>
            <w:color w:val="0000FF"/>
          </w:rPr>
          <w:t>5</w:t>
        </w:r>
      </w:hyperlink>
      <w:r>
        <w:t xml:space="preserve">, </w:t>
      </w:r>
      <w:hyperlink w:anchor="P517">
        <w:r>
          <w:rPr>
            <w:color w:val="0000FF"/>
          </w:rPr>
          <w:t>6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2.2 Физикальное обследование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пациентам при подозрении на ГЦР или с установленным диагнозом ГЦР выполнить стандартный врачебный осмотр, включая оценку нутритивного статуса, наличие симптомов хронического заболевания печени (асцита, желтухи, энцефалопатии, кровотечений, спленомегалии)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Следует разграничить вызванные опухолью симптомы и длительно существующие симптомы цирроза печени.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2.3 Лабораторные диагностические исследования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пациентам с подозрением на ГЦР или установленным диагнозом ГЦР с целью определения этиологии и выраженности сопутствующего заболевания печени, а также выявления показаний к назначению сопутствующей противовирусной терапии провести исследование на наличие антител к HBsAg и HCV; при положительном результате теста на HBsAg необходимо исследование на наличие HBeAg, HBeAb и количественное определение ДНК HBV; при подозрении на острый вирусный гепатит необходим анализ на HBcAb IgG [</w:t>
      </w:r>
      <w:hyperlink w:anchor="P517">
        <w:r>
          <w:rPr>
            <w:color w:val="0000FF"/>
          </w:rPr>
          <w:t>6</w:t>
        </w:r>
      </w:hyperlink>
      <w:r>
        <w:t xml:space="preserve"> - </w:t>
      </w:r>
      <w:hyperlink w:anchor="P520">
        <w:r>
          <w:rPr>
            <w:color w:val="0000FF"/>
          </w:rPr>
          <w:t>9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пациентам с подозрением на ГЦР или установленным диагнозом ГЦР, получающим специализированное противоопухолевое лечение или находящимся в процессе динамического наблюдения после лечения, для объективной оценки степени выраженности изменений в гемограмме и выявления возможного нарушения функции печени и почек выполнить развернутый клинический (с подсчетом количества тромбоцитов) и биохимический (с измерением уровня альбумина, общего и прямого билирубина) анализ крови, определение протромбинового времени и международного нормализованного отношения, общий анализ мочи [</w:t>
      </w:r>
      <w:hyperlink w:anchor="P516">
        <w:r>
          <w:rPr>
            <w:color w:val="0000FF"/>
          </w:rPr>
          <w:t>5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пациентам с подозрением на ГЦР или установленным диагнозом ГЦР, получающим специализированное противоопухолевое лечение или находящимся в процессе динамического наблюдения после лечения, выполнить определение концентрации в плазме опухолеспецифического маркера альфа-фетопротеина (АФП) для оценки агрессивности заболевания и прогноза его течения, контроля эффективности лечения.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Комментарии: Результат анализа на АФП считается положительным, если уровень АФП &gt; 100 нг/мл </w:t>
      </w:r>
      <w:hyperlink w:anchor="P521">
        <w:r>
          <w:rPr>
            <w:color w:val="0000FF"/>
          </w:rPr>
          <w:t>[10]</w:t>
        </w:r>
      </w:hyperlink>
      <w:r>
        <w:t xml:space="preserve"> и если он увеличивался на 7 нг/мл в месяц по результатам 3 последовательных измерений </w:t>
      </w:r>
      <w:hyperlink w:anchor="P522">
        <w:r>
          <w:rPr>
            <w:color w:val="0000FF"/>
          </w:rPr>
          <w:t>[11]</w:t>
        </w:r>
      </w:hyperlink>
      <w:r>
        <w:t>. Уровень АФП может повышаться при хронических заболеваниях печени, например при острых и хронических вирусных гепатитах, при других онкологических заболеваниях (гепатоидном раке желудка, герминогенных опухолях и т.д.), при беременности.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Оценка функционального статуса печени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установленным диагнозом ГЦР, получающим специализированное противоопухолевое лечение или находящимся в процессе динамического наблюдения после лечения, оценить функциональный статус печени по критериям Child-Pugh </w:t>
      </w:r>
      <w:hyperlink w:anchor="P843">
        <w:r>
          <w:rPr>
            <w:color w:val="0000FF"/>
          </w:rPr>
          <w:t>(Приложение Г1)</w:t>
        </w:r>
      </w:hyperlink>
      <w:r>
        <w:t xml:space="preserve"> с целью оценки степени нарушения функций печени для определения переносимости планируемого лечения или токсичности проводимого противоопухолевого лечения и прогноза течения цирроза печени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24">
        <w:r>
          <w:rPr>
            <w:color w:val="0000FF"/>
          </w:rPr>
          <w:t>13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- 1).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Комментарий: цирроз печени, частое сопутствующее заболевание печени, определяет переносимость основных методов лечения, вплоть до невозможности проведения лечения, негативно и конкурентно с ГЦР влияет на общую выживаемость; необходима профилактика осложнений цирроза печени.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2.4 Инструментальные диагностические исследования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При положительном результате анализа на АФП пациентам с подозрением на ГЦР рекомендуется мультифазная компьютерная томография (КТ) печени и брюшной полости с контрастированием и магнитно-резонансная томография (МРТ) печени и брюшной полости с контрастированием независимо от результатов ультразвукового исследования (УЗИ) печени для уточнения диагноза и степени распространенности опухолевого процесса </w:t>
      </w:r>
      <w:hyperlink w:anchor="P523">
        <w:r>
          <w:rPr>
            <w:color w:val="0000FF"/>
          </w:rPr>
          <w:t>[12]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подозрением на ГЦР или установленным диагнозом ГЦР, а также получающим специализированное противоопухолевое лечение или находящимся в процессе динамического наблюдения после лечения, выполнить ультразвуковое исследование (УЗИ) органов брюшной полости и забрюшинного пространства, в том числе, печени, включая бассейн воротной вены, для оценки степени распространенности ГЦР, выявления осложнений ГЦР и/или цирроза и их контроля, контроля эффективности противоопухолевого лечения </w:t>
      </w:r>
      <w:hyperlink w:anchor="P523">
        <w:r>
          <w:rPr>
            <w:color w:val="0000FF"/>
          </w:rPr>
          <w:t>[12]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Комментарий: УЗИ применяется на этапе скрининга, при осуществлении чрескожной биопсии, интервенционных вмешательств и иногда мониторинга эффективности лечения. УЗИ позволяет выявить осложнения ГЦР и/или цирроза, включая инвазию опухоли в магистральные сосуды печени. Обязательна оценка проходимости бассейна воротной вены. Чувствительность УЗИ невысока для обнаружения узлов малого размера. УЗИ с контрастным усилением обладает </w:t>
      </w:r>
      <w:r>
        <w:lastRenderedPageBreak/>
        <w:t>преимуществом в выявлении гиперваскуляризованных узлов, что может использоваться при дифференциальной диагностике очаговых образований печени.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подозрением на ГЦР или установленным диагнозом ГЦР, а также получающим специализированное противоопухолевое лечение или находящимся в процессе динамического наблюдения после лечения, выполнить эзофагогастродуоденоскопию для выявления варикозного расширения вен пищевода и желудка и оценки степени его выраженности </w:t>
      </w:r>
      <w:hyperlink w:anchor="P518">
        <w:r>
          <w:rPr>
            <w:color w:val="0000FF"/>
          </w:rPr>
          <w:t>[7]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пациентам с подозрением на ГЦР или установленным диагнозом ГЦР, а также получающим специализированное противоопухолевое лечение или находящимся в процессе динамического наблюдения после лечения, выполнить четырехфазную компьютерную томографию (КТ) (нативная, артериальная, венозная и отсроченная венозная фазы) и/или динамическую магнитно-резонансную томографию (МРТ) печени с внутривенным контрастированием для оценки распространенности опухолевого процесса и выявления ее изменений: определяют количество и размеры опухолевых узлов внутри печени, наличие сосудистой инвазии и тромбоза, внепеченочного распространения, контроля эффективности лечения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25">
        <w:r>
          <w:rPr>
            <w:color w:val="0000FF"/>
          </w:rPr>
          <w:t>14</w:t>
        </w:r>
      </w:hyperlink>
      <w:r>
        <w:t xml:space="preserve"> - </w:t>
      </w:r>
      <w:hyperlink w:anchor="P527">
        <w:r>
          <w:rPr>
            <w:color w:val="0000FF"/>
          </w:rPr>
          <w:t>16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I.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Комментарий: диагноз печеночно-клеточного рака может считаться обоснованным без морфологической верификации, если в цирротически измененной печени по данным одного из методов (мультифазной КТ или МРТ) выявляют типичные для ГЦР признаки, а именно диффузное (не кольцевидное) контрастное усиление опухоли размером &gt; 1 см в поздней артериальной фазе и "вымывание" контрастного вещества в венозной фазе; в опухолевых узлах размером &gt; 2 см выявление псевдокапсулы в отсроченной (равновесной) фазе; рост опухоли менее чем за 6 мес. на 50% или увеличение размеров опухоли не менее чем на 5 мм за 6 мес. </w:t>
      </w:r>
      <w:r w:rsidRPr="00261B8C">
        <w:rPr>
          <w:lang w:val="en-US"/>
        </w:rPr>
        <w:t>(</w:t>
      </w:r>
      <w:r>
        <w:t>Американская</w:t>
      </w:r>
      <w:r w:rsidRPr="00261B8C">
        <w:rPr>
          <w:lang w:val="en-US"/>
        </w:rPr>
        <w:t xml:space="preserve"> </w:t>
      </w:r>
      <w:r>
        <w:t>ассоциация</w:t>
      </w:r>
      <w:r w:rsidRPr="00261B8C">
        <w:rPr>
          <w:lang w:val="en-US"/>
        </w:rPr>
        <w:t xml:space="preserve"> </w:t>
      </w:r>
      <w:r>
        <w:t>по</w:t>
      </w:r>
      <w:r w:rsidRPr="00261B8C">
        <w:rPr>
          <w:lang w:val="en-US"/>
        </w:rPr>
        <w:t xml:space="preserve"> </w:t>
      </w:r>
      <w:r>
        <w:t>изучению</w:t>
      </w:r>
      <w:r w:rsidRPr="00261B8C">
        <w:rPr>
          <w:lang w:val="en-US"/>
        </w:rPr>
        <w:t xml:space="preserve"> </w:t>
      </w:r>
      <w:r>
        <w:t>заболеваний</w:t>
      </w:r>
      <w:r w:rsidRPr="00261B8C">
        <w:rPr>
          <w:lang w:val="en-US"/>
        </w:rPr>
        <w:t xml:space="preserve"> </w:t>
      </w:r>
      <w:r>
        <w:t>печени</w:t>
      </w:r>
      <w:r w:rsidRPr="00261B8C">
        <w:rPr>
          <w:lang w:val="en-US"/>
        </w:rPr>
        <w:t xml:space="preserve"> (American Association for the Study of Liver Disease, AASLD)/Liver Imaging Reporting and Data System (LI-RADS), </w:t>
      </w:r>
      <w:r>
        <w:t>Европейская</w:t>
      </w:r>
      <w:r w:rsidRPr="00261B8C">
        <w:rPr>
          <w:lang w:val="en-US"/>
        </w:rPr>
        <w:t xml:space="preserve"> </w:t>
      </w:r>
      <w:r>
        <w:t>ассоциация</w:t>
      </w:r>
      <w:r w:rsidRPr="00261B8C">
        <w:rPr>
          <w:lang w:val="en-US"/>
        </w:rPr>
        <w:t xml:space="preserve"> </w:t>
      </w:r>
      <w:r>
        <w:t>по</w:t>
      </w:r>
      <w:r w:rsidRPr="00261B8C">
        <w:rPr>
          <w:lang w:val="en-US"/>
        </w:rPr>
        <w:t xml:space="preserve"> </w:t>
      </w:r>
      <w:r>
        <w:t>изучению</w:t>
      </w:r>
      <w:r w:rsidRPr="00261B8C">
        <w:rPr>
          <w:lang w:val="en-US"/>
        </w:rPr>
        <w:t xml:space="preserve"> </w:t>
      </w:r>
      <w:r>
        <w:t>печени</w:t>
      </w:r>
      <w:r w:rsidRPr="00261B8C">
        <w:rPr>
          <w:lang w:val="en-US"/>
        </w:rPr>
        <w:t xml:space="preserve"> (The European Association for the Study of the Liver, EASL) 2018). </w:t>
      </w:r>
      <w:r>
        <w:t>В дифференциальной диагностике новообразований печени может использоваться рентгенологическая классификация LI-RADS [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8">
        <w:r>
          <w:rPr>
            <w:color w:val="0000FF"/>
          </w:rPr>
          <w:t>17</w:t>
        </w:r>
      </w:hyperlink>
      <w:r>
        <w:t>]. В рандомизированных исследованиях доказано, что категория LI-RADS 4 - 5 имеет высокую специфичность (95 - 100%) для пациентов группы высокого риска ГЦР с узлом размером &gt; 10 мм [</w:t>
      </w:r>
      <w:hyperlink w:anchor="P529">
        <w:r>
          <w:rPr>
            <w:color w:val="0000FF"/>
          </w:rPr>
          <w:t>18</w:t>
        </w:r>
      </w:hyperlink>
      <w:r>
        <w:t xml:space="preserve">, </w:t>
      </w:r>
      <w:hyperlink w:anchor="P530">
        <w:r>
          <w:rPr>
            <w:color w:val="0000FF"/>
          </w:rPr>
          <w:t>19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Классификация LI-RADS регулярно дополняется ведущими диагностами всего мира и позволяет рентгенологам тесном взаимодействовать с клиницистами и осуществлять с использованием методов КТ/МРТ качественное наблюдение пациентов в процессе лечения. Категориями LI-RADS руководствуются клинические рекомендации AASLD [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31">
        <w:r>
          <w:rPr>
            <w:color w:val="0000FF"/>
          </w:rPr>
          <w:t>20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подозрением на ГЦР или установленным диагнозом ГЦР, а также получающим специализированное противоопухолевое лечение или находящимся в процессе динамического наблюдения после или в процессе лечения, выполнить МРТ брюшной полости с применением гепатоспецифического контрастного препарата (гадоксетовой кислоты**) для дифференциальной диагностики проявлений ГЦР и неопухолевой патологии печени, контроля эффективности лечения </w:t>
      </w:r>
      <w:hyperlink w:anchor="P518">
        <w:r>
          <w:rPr>
            <w:color w:val="0000FF"/>
          </w:rPr>
          <w:t>[7]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Комментарий: метод применяется в следующих случаях: первично выявленные новообразования печени неустановленной природы (для уточнения их характера и количества); при циррозе печени - для уточненной оценки состояния паренхимы и дифференциальной </w:t>
      </w:r>
      <w:r>
        <w:lastRenderedPageBreak/>
        <w:t>диагностики регенераторных узлов и ГЦР; при первичном или метастатическом ГЦР на фоне цирроза - для оценки эффективности лекарственного лечения - и локо-регионарной терапии; а также для установления их морфологического подтипа - например, гепатоцеллюлярная аденома воспалительного типа накапливает гепатоспецифический контрастный препарат. Накопление гепатоспецифического контрастного препарата в гепатоспецифических фазах контрастного усиления (на 10-й и 20-й минутах и позже) свидетельствует о наличии большого количества соединительной ткани в структуре ГЦР, холангиоцеллюлярного рака или метастаза.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пациентам с подозрением на ГЦР или установленным диагнозом ГЦР, а также получающим специализированное противоопухолевое лечение или находящимся в процессе динамического наблюдения после лечения, выполнить КТ органов грудной клетки, брюшной полости и малого таза для исключения внепеченочных проявлений опухоли, контроля эффективности лечения [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32">
        <w:r>
          <w:rPr>
            <w:color w:val="0000FF"/>
          </w:rPr>
          <w:t>21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- 4).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установленным диагнозом ГЦР, а также получающим специализированное противоопухолевое лечение или находящимся в процессе динамического наблюдения после лечения, выполнить остеосцинтиграфию при наличии болевого синдрома для выявления метастатического поражения костей скелета, контроля эффективности лечения </w:t>
      </w:r>
      <w:hyperlink w:anchor="P523">
        <w:r>
          <w:rPr>
            <w:color w:val="0000FF"/>
          </w:rPr>
          <w:t>[12]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Для морфологического подтверждения диагноза рекомендуется пациентам с подозрением на ГЦР выполнить биопсию под контролем УЗИ/КТ для уточнения диагноза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>] в следующих случаях: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если по данным КТ или МРТ заподозрено патологическое образование в нецирротической печени;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если необходимо исключить злокачественную опухоль печени при отсутствии рентгенографических специфических признаков ГЦР в цирротической печени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Комментарии: пункционная биопсия опухоли печени с получением столбика ткани (cor-биопсия) предпочтительнее аспирационной тонкоигольной биопсии. Биопсия рекомендуется при малом размере опухоли (&lt; 2 см) и типичном для ГЦР кровотоке, нетипичной васкуляризации узла размером &gt; 2 см, расхождениях в описании и трактовке контрастных динамических исследований в сочетании с нормальным или незначительно повышенным уровнем АФП, выявлении любого опухолевого образования в нецирротической печени </w:t>
      </w:r>
      <w:hyperlink w:anchor="P533">
        <w:r>
          <w:rPr>
            <w:color w:val="0000FF"/>
          </w:rPr>
          <w:t>[22]</w:t>
        </w:r>
      </w:hyperlink>
      <w:r>
        <w:t>. Отрицательный результат биопсии не исключает диагноза злокачественной опухоли печени и предполагает дальнейшее наблюдение с возможностью повторных биопсий. Биопсия локального образования в цирротической печени не нужна, если: 1) не планируется какого-либо лечения в связи с декомпенсированным циррозом и/или другой тяжелой патологией; 2) планируется резекция печени; 3) при циррозе мультифазная КТ и МРТ с контрастированием описывают признаки, специфичные для ГЦР (неравномерное контрастирование узла в артериальной фазе, затем "вымывание" в венозной) [</w:t>
      </w:r>
      <w:hyperlink w:anchor="P534">
        <w:r>
          <w:rPr>
            <w:color w:val="0000FF"/>
          </w:rPr>
          <w:t>23</w:t>
        </w:r>
      </w:hyperlink>
      <w:r>
        <w:t xml:space="preserve">, </w:t>
      </w:r>
      <w:hyperlink w:anchor="P535">
        <w:r>
          <w:rPr>
            <w:color w:val="0000FF"/>
          </w:rPr>
          <w:t>24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Для уточняющей диагностики раннего и высокодифференцированного ГЦР Международная консенсусная группа по опухолям печени рекомендует панель из 3 иммуно-гистохимических маркеров - HSP70 (HSPA7), глипикана 3 (GPC3) и глутаминсинтетазы (GS), а для выявления прогностически неблагоприятных случаев - цитокератин 19 (CK 19). В сложных для диагностики случаях целесообразно отправить гистопрепараты для исследования в специализированные центры.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выполнить позитронно-эмиссионную томографию с 18-</w:t>
      </w:r>
      <w:r>
        <w:lastRenderedPageBreak/>
        <w:t>фтордезоксиглюкозой, совмещенную с КТ, у пациентов с установленным диагнозом ГЦР, являющихся кандидатами на оперативное лечение, если имеется подозрение на отдаленные метастазы по данным КТ или МРТ, и их подтверждение приведет к отказу от операции [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36">
        <w:r>
          <w:rPr>
            <w:color w:val="0000FF"/>
          </w:rPr>
          <w:t>25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- 4).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установленным диагнозом ГЦР при подозрении на метастазирование в головной мозг выполнить МРТ или КТ головного мозга с внутривенным контрастированием </w:t>
      </w:r>
      <w:hyperlink w:anchor="P527">
        <w:r>
          <w:rPr>
            <w:color w:val="0000FF"/>
          </w:rPr>
          <w:t>[16]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установить стадию ГЦР по классификации TNM (8-й редакции), AJCC и BCLC для повышения точности диагностики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37">
        <w:r>
          <w:rPr>
            <w:color w:val="0000FF"/>
          </w:rPr>
          <w:t>26</w:t>
        </w:r>
      </w:hyperlink>
      <w:r>
        <w:t xml:space="preserve"> - </w:t>
      </w:r>
      <w:hyperlink w:anchor="P539">
        <w:r>
          <w:rPr>
            <w:color w:val="0000FF"/>
          </w:rPr>
          <w:t>28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2.5 Иные диагностические исследования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Диагностические ангиографические методики являются неотъемлемой частью эндоваскулярного лечебного вмешательства у пациентов с ГЦР, позволяющие оценить состояние чревного ствола и его ветвей, уточнить анатомический вариант кровоснабжения печени, определить уровень васкуляризации опухолевых узлов, уточнить наличие артерио-портальных или артериовенозных шунтов. Полученные диагностические данные имеют важное значение в определении, как возможности выполнения, так и планирования последующей трансартериальной химиоэмболизации печени.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При выявлении у пациентов с ГЦР выраженного артериовенозного фистулирования или наличии артериопортального шунта с контрастированием ствола воротной вены или ее долевых ветвей ТАХЭ не показана. Пациентам с наличием артериовенозного фистулирования на I этапе эндоваскулярного лечения (перед ТАХЭ) показана эмболизация печеночных артерий с целью окклюзии АВФ [</w:t>
      </w:r>
      <w:hyperlink w:anchor="P589">
        <w:r>
          <w:rPr>
            <w:color w:val="0000FF"/>
          </w:rPr>
          <w:t>78</w:t>
        </w:r>
      </w:hyperlink>
      <w:r>
        <w:t xml:space="preserve">, </w:t>
      </w:r>
      <w:hyperlink w:anchor="P590">
        <w:r>
          <w:rPr>
            <w:color w:val="0000FF"/>
          </w:rPr>
          <w:t>79</w:t>
        </w:r>
      </w:hyperlink>
      <w:r>
        <w:t>]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3. Лечение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Назначение и применение лекарственных препаратов, указанных в клинической рекомендации, направлено на обеспечение пациента клинически эффективной и безопасной медицинской помощью, в связи с чем их назначение и применение в конкретной клинической ситуации определяется в соответствии с инструкциями по применению конкретных лекарственных препаратов с реализацией представленных в инструкции мер предосторожности при их применении, также возможна коррекция доз с учетом состояния пациента.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Разработка плана лечения по результатам диагностики должна быть отнесена к компетенции специализированной мультидисциплинарной группы по ГЦР, функционирующей на базе специализированных центров. При выборе стратегии лечения пациентов с ГЦР приоритет должен отдаваться противоопухолевому специализированному лечению с использованием методов, позволяющих увеличить выживаемость.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Радикальное лечение раннего локализованного ГЦР включает резекцию печени, ортотопическую трансплантацию печени и применение местно-деструктивных аблативных методов (радиочастотную, микроволновую аблацию и др.)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Паллиативное лечение ГЦР направлено на достижение контроля над проявлениями болезни, призвано увеличивать продолжительность и улучшать качество жизни пациентов. Паллиативное специализированное лечение включает интервенционно-радиологическое лечение (различные виды эмболизации) и системную химиотерапию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План лечения вырабатывается на основании результатов объективного обследования мультидисциплинарной командой специалистов (включающей врача-радиолога, врача-хирурга (гепатолога), врача по рентгеноэндоваскулярным диагностике и лечению, врача-онколога, врача-гастроэнтеролога (гепатолога), имеющих опыт работы с пациентами с ГЦР на базе специализированных центров. Поскольку ГЦР в большинстве случаев выявляется в цирротически измененной печени, прогноз жизни для этих пациентов определяется не только степенью распространения опухоли, но и степенью дисфункции печени и объективным состоянием пациентов.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3.1 Хирургическое лечение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резекция печени как метод выбора лечения при локализованном ГЦР у пациентов без цирроза, а также при наличии цирроза с нарушением печеночно-клеточной функции печени, соответствующему классу A по шкале Child-Pugh </w:t>
      </w:r>
      <w:hyperlink w:anchor="P843">
        <w:r>
          <w:rPr>
            <w:color w:val="0000FF"/>
          </w:rPr>
          <w:t>(Приложение Г1)</w:t>
        </w:r>
      </w:hyperlink>
      <w:r>
        <w:t xml:space="preserve"> для улучшения результатов лечения и снижения риска рецидива. Выполнение оперативного вмешательства возможно при наличии стадии BCLC 0/A, BCLC B с ограниченным поражением органа и у отобранной группы BCLC C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38">
        <w:r>
          <w:rPr>
            <w:color w:val="0000FF"/>
          </w:rPr>
          <w:t>27</w:t>
        </w:r>
      </w:hyperlink>
      <w:r>
        <w:t xml:space="preserve"> - </w:t>
      </w:r>
      <w:hyperlink w:anchor="P545">
        <w:r>
          <w:rPr>
            <w:color w:val="0000FF"/>
          </w:rPr>
          <w:t>34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- 3).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Следует учитывать, что большой размер опухоли и/или множественное внутриорганное поражение, наличие инвазии магистральных сосудов, метастатическое поражение регионарных лимфатических узлов не являются абсолютным противопоказанием к резекции печени, однако результаты хирургического лечения в этих случаях предсказуемо хуже.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ортотопическая трансплантация печени при раннем ГЦР (BCLC 0-A) в случаях, не подходящих для резекции, при соответствии принятым критериям (показаниям) к трансплантации при ГЦР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97">
        <w:r>
          <w:rPr>
            <w:color w:val="0000FF"/>
          </w:rPr>
          <w:t>86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Комментарии: чаще используются так называемые "миланские" критерии: размер единственной опухоли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 см или наличие в печени не более 3 очагов с диаметром наибольшего узла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3 см и отсутствием инвазии в сосуды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40">
        <w:r>
          <w:rPr>
            <w:color w:val="0000FF"/>
          </w:rPr>
          <w:t>29</w:t>
        </w:r>
      </w:hyperlink>
      <w:r>
        <w:t>]. Показания и противопоказания к выполнению трансплантации печени определяются врачом-трансплантологом.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Bridge-терапия (терапия "ожидания", которая направлена на замедление прогрессирования опухоли и уменьшение вероятности выбытия из листа ожидания трансплантации) или терапия "понижения стадии" (down-staging, направлена на уменьшение внутрипеченочной распространенности опухолевого процесса при отсутствии внепеченочных изменений) рекомендуется пациентам, ожидающим трансплантации печени, для увеличения вероятности выполнения трансплантации печени, улучшения селекции и исключения агрессивных случаев ГЦР [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40">
        <w:r>
          <w:rPr>
            <w:color w:val="0000FF"/>
          </w:rPr>
          <w:t>29</w:t>
        </w:r>
      </w:hyperlink>
      <w:r>
        <w:t xml:space="preserve">, </w:t>
      </w:r>
      <w:hyperlink w:anchor="P546">
        <w:r>
          <w:rPr>
            <w:color w:val="0000FF"/>
          </w:rPr>
          <w:t>35</w:t>
        </w:r>
      </w:hyperlink>
      <w:r>
        <w:t xml:space="preserve">, </w:t>
      </w:r>
      <w:hyperlink w:anchor="P547">
        <w:r>
          <w:rPr>
            <w:color w:val="0000FF"/>
          </w:rPr>
          <w:t>36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Bridge-терапия включает аблацию, трансартериальную эмболизацию, резекцию печени, лекарственную терапию.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пациентам с ГЦР и сопутствующим хроническим вирусным гепатитом В (HBs+, вирусная нагрузка &gt; 10 000 копий в мл) противовирусная терапия аналогами нуклеозидов; после радикального лечения ранних стадий ГЦР она увеличивает безрецидивную и общую выживаемость [</w:t>
      </w:r>
      <w:hyperlink w:anchor="P548">
        <w:r>
          <w:rPr>
            <w:color w:val="0000FF"/>
          </w:rPr>
          <w:t>37</w:t>
        </w:r>
      </w:hyperlink>
      <w:r>
        <w:t xml:space="preserve">, </w:t>
      </w:r>
      <w:hyperlink w:anchor="P549">
        <w:r>
          <w:rPr>
            <w:color w:val="0000FF"/>
          </w:rPr>
          <w:t>38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- 2).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3.2 Методы локальной деструкции опухоли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Рекомендуются методы локальной деструкции опухоли для радикального лечения раннего ГЦР стадий BCLC 0-A при невозможности выполнения резекции печени; для сдерживания прогрессирования ГЦР в период ожидания трансплантации печени; для лечения рецидивов после резекции печени; возможно сочетанное применение в ходе выполнения резекции печени [</w:t>
      </w:r>
      <w:hyperlink w:anchor="P550">
        <w:r>
          <w:rPr>
            <w:color w:val="0000FF"/>
          </w:rPr>
          <w:t>39</w:t>
        </w:r>
      </w:hyperlink>
      <w:r>
        <w:t xml:space="preserve"> - </w:t>
      </w:r>
      <w:hyperlink w:anchor="P552">
        <w:r>
          <w:rPr>
            <w:color w:val="0000FF"/>
          </w:rPr>
          <w:t>41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Комментарии: Основным критерием при определении показаний является техническая возможность выполнения вмешательства с минимальным риском развития осложнений. Деструкции подлежат не более 5 узлов диаметром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3 см. Возможна деструкция узлов большего диаметра, но частота локальных рецидивов существенно увеличивается при опухолях &gt; 3 см в наибольшем измерении. В ряде случаев целесообразно выполнять аблацию после проведения предварительной трансартериальной (химио-) эмболизации опухоли печени. Локальная деструкция противопоказана при множественном поражении печени, декомпенсированном циррозе (класса C по Child-Pugh), внепеченочных проявлениях заболевания, при наличии портального шунта, несмещаемом прилежании опухолевого узла к рядом расположенным органам, а также вне (внутри-) печеночно расположенным трубчатым структурам.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Не рекомендуется пациентам с ГЦР после радикального (R0) хирургического лечения адъювантная терапия мультикиназными ингибиторами в связи с отсутствием преимуществ перед другими вмешательствами в улучшении выживаемости пациентов </w:t>
      </w:r>
      <w:hyperlink w:anchor="P553">
        <w:r>
          <w:rPr>
            <w:color w:val="0000FF"/>
          </w:rPr>
          <w:t>[42]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дистанционная лучевая терапия стереотаксическим методом единичных (1 - 3) опухолевых узлов в печени размером &gt; 2 см при раннем ГЦР стадии BCLC 0-A, при наличии противопоказаний к использованию других методов локальной деструкции, для улучшения локального контроля опухоли (по сравнению с радиочастотной аблацией) </w:t>
      </w:r>
      <w:hyperlink w:anchor="P554">
        <w:r>
          <w:rPr>
            <w:color w:val="0000FF"/>
          </w:rPr>
          <w:t>[43]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- 4).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3.3 Трансартериальная химиоэмболизация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трансартериальная химиоэмболизация (ТАХЭ) опухолевых сосудов в 1-й линии паллиативного лечения пациентам с ГЦР при нерезектабельном/неоперабельном процессе без признаков инвазии/тромбоза магистральных печеночных сосудов и без внепеченочных проявлений заболевания в комбинации с другими методами локального и системного воздействия, а также в период ожидания трансплантации печени для улучшения контроля роста опухоли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55">
        <w:r>
          <w:rPr>
            <w:color w:val="0000FF"/>
          </w:rPr>
          <w:t>44</w:t>
        </w:r>
      </w:hyperlink>
      <w:r>
        <w:t xml:space="preserve"> - </w:t>
      </w:r>
      <w:hyperlink w:anchor="P558">
        <w:r>
          <w:rPr>
            <w:color w:val="0000FF"/>
          </w:rPr>
          <w:t>47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согласно классификации BCLC, ТАХЭ выполняется при лечении пациентов с промежуточной (BCLC B) и ранней (BCLC A) стадиями при противопоказаниях к хирургическому лечению. Проведение ТАХЭ опухоли в печени при наличии внепеченочных проявлений опухолевого процесса не улучшает отдаленных результатов лечения. Показания и противопоказания к проведению ТАХЭ определяются врачом по рентгеноэндоваскулярным диагностике и лечению.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Не рекомендуется ТАХЭ пациентам с ГЦР при поражении более 75% объема печени, декомпенсированном циррозе (класса C по Child-Pugh), тромбозе магистральных ветвей или ствола воротной вены, внепеченочном распространении заболевания, некупируемом асците, </w:t>
      </w:r>
      <w:r>
        <w:lastRenderedPageBreak/>
        <w:t xml:space="preserve">почечной недостаточности (уровне креатинина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 мг/дл или клиренсе креатинина &lt; 30 мл/мин.), тяжелых нарушениях свертывающей системы крови, желудочно-кишечном кровотечении за последние 3 мес., наличии портального шунта. [</w:t>
      </w:r>
      <w:hyperlink w:anchor="P559">
        <w:r>
          <w:rPr>
            <w:color w:val="0000FF"/>
          </w:rPr>
          <w:t>48</w:t>
        </w:r>
      </w:hyperlink>
      <w:r>
        <w:t xml:space="preserve">, </w:t>
      </w:r>
      <w:hyperlink w:anchor="P560">
        <w:r>
          <w:rPr>
            <w:color w:val="0000FF"/>
          </w:rPr>
          <w:t>49</w:t>
        </w:r>
      </w:hyperlink>
      <w:r>
        <w:t>]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относительными противопоказаниями к ТАХЭ являются цирроз печени класса B по Child-Pugh (9 баллов), размер опухоли &gt; 10 см, наличие некомпенсированных сопутствующих заболеваний: нарушений функций органов сердечно-сосудистой, легочной систем, острых инфекционных заболеваний, желудочно-кишечного кровотечения, произошедшего за последние 3 мес., варикозного расширения вен пищевода/желудка III степени с высоким риском кровотечения, желчной гипертензии. [</w:t>
      </w:r>
      <w:hyperlink w:anchor="P559">
        <w:r>
          <w:rPr>
            <w:color w:val="0000FF"/>
          </w:rPr>
          <w:t>48</w:t>
        </w:r>
      </w:hyperlink>
      <w:r>
        <w:t xml:space="preserve">, </w:t>
      </w:r>
      <w:hyperlink w:anchor="P560">
        <w:r>
          <w:rPr>
            <w:color w:val="0000FF"/>
          </w:rPr>
          <w:t>49</w:t>
        </w:r>
      </w:hyperlink>
      <w:r>
        <w:t>]. Выбор метода (селективная, суперселективная, подолевая) и вида артериальной химиоэмболизации (масляная - раствор противоопухолевого препарата + #Липиодол Ультра-Флюид; комбинированная - раствор противоопухолевого препарата + #Липиодол Ультра-Флюид + микросферы для эмболизации из поливинилацетата и др.; эмболизация микросферами, элиминирующими противоопухолевого препарата (DEB - drug-eluting beads)) зависит от клинической ситуации, технических условий и плана лечения. Наиболее часто используемые противоопухолевые препараты - доксорубицин** или эпирубицин** в разовой дозе, аналогичной курсовой дозе препарата, используемой при системном лечении.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ГЦР оценивать эффективности ТАХЭ по данным КТ/МРТ с внутривенным контрастным усилением по критериям mRECIST </w:t>
      </w:r>
      <w:hyperlink w:anchor="P955">
        <w:r>
          <w:rPr>
            <w:color w:val="0000FF"/>
          </w:rPr>
          <w:t>(Приложение Г4)</w:t>
        </w:r>
      </w:hyperlink>
      <w:r>
        <w:t xml:space="preserve"> через 4 - 8 нед. после процедуры [</w:t>
      </w:r>
      <w:hyperlink w:anchor="P540">
        <w:r>
          <w:rPr>
            <w:color w:val="0000FF"/>
          </w:rPr>
          <w:t>29</w:t>
        </w:r>
      </w:hyperlink>
      <w:r>
        <w:t xml:space="preserve">, </w:t>
      </w:r>
      <w:hyperlink w:anchor="P561">
        <w:r>
          <w:rPr>
            <w:color w:val="0000FF"/>
          </w:rPr>
          <w:t>50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системная терапия пациентам с ГЦР при отсутствии эффекта от 2 последовательно выполненных сеансов ТАХЭ (при отсутствии зоны некроза в эмболизированных опухолевых узлах, появлении новых узлов в зоне воздействия) для улучшения выживаемости пациентов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40">
        <w:r>
          <w:rPr>
            <w:color w:val="0000FF"/>
          </w:rPr>
          <w:t>29</w:t>
        </w:r>
      </w:hyperlink>
      <w:r>
        <w:t xml:space="preserve">, </w:t>
      </w:r>
      <w:hyperlink w:anchor="P559">
        <w:r>
          <w:rPr>
            <w:color w:val="0000FF"/>
          </w:rPr>
          <w:t>48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повторная ТАХЭ пациентам с ГЦР при изолированном внутрипеченочном поражении в случае сохранения эффекта ранее выполненной ТАХЭ более 6 месяцев для улучшения выживаемости пациентов </w:t>
      </w:r>
      <w:hyperlink w:anchor="P518">
        <w:r>
          <w:rPr>
            <w:color w:val="0000FF"/>
          </w:rPr>
          <w:t>[7]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3.4 Трансартериальная радиоэмболизация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Эндоваскулярная эмболизация сосудов при новообразованиях печени и желчевыводящих путей c применением иттрия-90 (Y</w:t>
      </w:r>
      <w:r>
        <w:rPr>
          <w:vertAlign w:val="superscript"/>
        </w:rPr>
        <w:t>90</w:t>
      </w:r>
      <w:r>
        <w:t>) - трансартериальная радиоэмболизация - рекомендуется пациентам с ГЦР при стадии BCLC A в качестве bridge-терапии, при стадиях BCLC B и C с тромбозом магистральных вен для улучшения результатов лечения и выживаемости пациентов [</w:t>
      </w:r>
      <w:hyperlink w:anchor="P517">
        <w:r>
          <w:rPr>
            <w:color w:val="0000FF"/>
          </w:rPr>
          <w:t>6</w:t>
        </w:r>
      </w:hyperlink>
      <w:r>
        <w:t xml:space="preserve">, 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40">
        <w:r>
          <w:rPr>
            <w:color w:val="0000FF"/>
          </w:rPr>
          <w:t>29</w:t>
        </w:r>
      </w:hyperlink>
      <w:r>
        <w:t xml:space="preserve">, </w:t>
      </w:r>
      <w:hyperlink w:anchor="P546">
        <w:r>
          <w:rPr>
            <w:color w:val="0000FF"/>
          </w:rPr>
          <w:t>35</w:t>
        </w:r>
      </w:hyperlink>
      <w:r>
        <w:t xml:space="preserve">, </w:t>
      </w:r>
      <w:hyperlink w:anchor="P562">
        <w:r>
          <w:rPr>
            <w:color w:val="0000FF"/>
          </w:rPr>
          <w:t>51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основные противопоказания к трансартериальной радиоэмболизации - поражение &gt; 70% объема печени, наличие артериовенозного шунта.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3.5 Лучевая терапия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пациентам с ГЦР лучевая терапия в случаях, когда другие варианты локорегионарного лечения и/или резекции не могут быть проведены для улучшения контроля </w:t>
      </w:r>
      <w:r>
        <w:lastRenderedPageBreak/>
        <w:t xml:space="preserve">роста опухоли и выживаемости пациентов </w:t>
      </w:r>
      <w:hyperlink w:anchor="P563">
        <w:r>
          <w:rPr>
            <w:color w:val="0000FF"/>
          </w:rPr>
          <w:t>[52]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Комментарий: Иногда проводится конформная 3D-лучевая терапия (30 - 60 Гр) на опухоль у пациентов без цирроза и признаков опухолевой инвазии в нижнюю полую вену, портальную вену и ее ветви.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3.6 Лекарственное лечение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врачом-онкологом пациентам с ГЦР лекарственная противоопухолевая терапия для улучшения выживаемости и контроля роста опухоли при [</w:t>
      </w:r>
      <w:hyperlink w:anchor="P564">
        <w:r>
          <w:rPr>
            <w:color w:val="0000FF"/>
          </w:rPr>
          <w:t>53</w:t>
        </w:r>
      </w:hyperlink>
      <w:r>
        <w:t xml:space="preserve"> - </w:t>
      </w:r>
      <w:hyperlink w:anchor="P569">
        <w:r>
          <w:rPr>
            <w:color w:val="0000FF"/>
          </w:rPr>
          <w:t>58]</w:t>
        </w:r>
      </w:hyperlink>
      <w:r>
        <w:t>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наличии объективных признаков опухолевого процесса и удовлетворительном общем состоянии (0 - 1 балл по шкале ECOG </w:t>
      </w:r>
      <w:hyperlink w:anchor="P893">
        <w:r>
          <w:rPr>
            <w:color w:val="0000FF"/>
          </w:rPr>
          <w:t>(Приложение Г2))</w:t>
        </w:r>
      </w:hyperlink>
      <w:r>
        <w:t>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сохранной функции печени (классе A или B по Child-Pugh, 5 - 7 баллов);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невозможности применения локальных методов лечения (резекции, трансплантации печени, (химио-) эмболизации опухолевых узлов);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внутрипеченочном локализованном ГЦР (как терапия ожидания трансплантации).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для проведения лекарственной терапии необходима морфологическая (цитологическая/гистологическая) верификация опухолевого процесса, но она не требуется, если на фоне известного цирроза печени выявляется типичная для ГЦР рентгенологическая картина гиперваскулярной опухоли печени (с "вымыванием" контраста в венозной фазе) по данным 2 независимых контрастных исследований (КТ и МРТ).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ГЦР - опухоль, устойчивая к цитотоксической терапии, поэтому рекомендуется в первую очередь рассмотреть возможность лечения в рамках клинических исследований.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Декомпенсация цирроза печени конкурентно влияет на выживаемость. Необходим мониторинг функции печени, проведение активной профилактики осложнений цирроза печени и их лечение.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При суб- и декомпенсированном циррозе (класса B/C по Child-Pugh) цитотоксическое лечение не проводится.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в 1-й линии системной терапии ГЦР сорафениб** или ленватиниб** [</w:t>
      </w:r>
      <w:hyperlink w:anchor="P564">
        <w:r>
          <w:rPr>
            <w:color w:val="0000FF"/>
          </w:rPr>
          <w:t>53</w:t>
        </w:r>
      </w:hyperlink>
      <w:r>
        <w:t xml:space="preserve"> - </w:t>
      </w:r>
      <w:hyperlink w:anchor="P567">
        <w:r>
          <w:rPr>
            <w:color w:val="0000FF"/>
          </w:rPr>
          <w:t>56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лечение проводится под наблюдением врача-онколога непрерывно до появления объективных (подтвержденных КТ/МРТ) признаков прогрессирования заболевания, явлений непереносимой токсичности или декомпенсации сопутствующих заболеваний. Опухолевый тромбоз магистральных сосудов (чаще воротной вены и/или ее внутрипеченочных ветвей) не является противопоказанием к лечению сорафенибом**. Терапия ГЦР, прогрессирующего после трансплантации печени (на фоне иммуносупрессивной терапии), сопровождается более выраженной токсичностью. Переносимость ленватиниба** в этой группе пациентов изучена недостаточно; рекомендуется начинать с 8 мг/сут., при хорошей переносимости в течение 10 - 14 дней доза может быть увеличена до 12 мг/сут.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Режим применения ленватиниба** зависит от исходного веса пациента: для пациентов с </w:t>
      </w:r>
      <w:r>
        <w:lastRenderedPageBreak/>
        <w:t xml:space="preserve">массой тела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60 кг лечение начинается с дозы 12 мг/сут. однократно, для пациентов с массой &lt; 60 кг - с разовой суточной дозы 8 мг.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Токсические эффекты, ассоциированные с применением сорафениба** и ленватиниба** (диарея, артериальная гипертония, ладонно-подошвенный синдром), являются биологическим предиктором лучшей выживаемости при условии продолжения терапии, целесообразно предпринять все меры по коррекции токсических эффектов, в первую очередь своевременно снизить суточную дозу препарата.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регорафениб** в качестве 2 линии терапии ГЦР при его прогрессировании на фоне терапии 1-й линии препаратами из группы ингибиторов протеинкиназы (мультикиназными ингибиторами) </w:t>
      </w:r>
      <w:hyperlink w:anchor="P152">
        <w:r>
          <w:rPr>
            <w:color w:val="0000FF"/>
          </w:rPr>
          <w:t>(таблица 1)</w:t>
        </w:r>
      </w:hyperlink>
      <w:r>
        <w:t xml:space="preserve"> для улучшения контроля роста опухоли и выживаемости пациентов </w:t>
      </w:r>
      <w:hyperlink w:anchor="P568">
        <w:r>
          <w:rPr>
            <w:color w:val="0000FF"/>
          </w:rPr>
          <w:t>[57]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Комментарии: регорафениб** назначается, если в 1-й линии терапии сорафенибом** в дозе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400 мг/сут. была отмечена его переносимость, при условии удовлетворительного состояния пациента (ECOG 0/1) и компенсированной функции печени (классе A по Child-Pugh) в стандартном режиме - 160 мг/сут. однократно в 1 - 21-й дни, курс 4 нед., а пациентам, имеющим факторы риска развития токсичности (на фоне приема сорафениба** в дозе 400 мг/сут. эпизоды декомпенсации цирроза печени, плохо контролируемая сопутствующая патология), - в начальной дозе 120 мг/сут. в 1 - 21-й дни 4-недельного цикла. При начале лечения в сниженной дозе при отсутствии токсичности II и последующих степеней через 10 - 12 дней от начала курса оправданно увеличение суточной дозы до стандартной рекомендуемой (160 мг/сут.). При непереносимости сорафениба** к моменту окончания 1-й линии терапии (&lt; 400 мг/сут.) рекомендуется терапия моноклональными антителами к PD-1.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кабозантиниб 60 мг в день в качестве 2 - 3 линии терапии ГЦР после прогрессирования на фоне терапии сорафенибом**. </w:t>
      </w:r>
      <w:hyperlink w:anchor="P152">
        <w:r>
          <w:rPr>
            <w:color w:val="0000FF"/>
          </w:rPr>
          <w:t>(таблица 1)</w:t>
        </w:r>
      </w:hyperlink>
      <w:hyperlink w:anchor="P569">
        <w:r>
          <w:rPr>
            <w:color w:val="0000FF"/>
          </w:rPr>
          <w:t>[58]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терапия препаратами моноклональных антител - ингибиторами контрольных точек иммунного надзора #ниволумабом** или #пембролизумабом** в качестве 2-й и 3-й линий терапии прогрессирующего ГЦР, а также у пациентов, не переносящих препараты из группы ингибиторов протеинкиназ (мультикиназные ингибиторы) сорафениб**/ленватиниб**/регорафениб**/кабозантиниб или имеющих противопоказания к терапии этими препаратами </w:t>
      </w:r>
      <w:hyperlink w:anchor="P152">
        <w:r>
          <w:rPr>
            <w:color w:val="0000FF"/>
          </w:rPr>
          <w:t>(таблица 1)</w:t>
        </w:r>
      </w:hyperlink>
      <w:r>
        <w:t xml:space="preserve"> для улучшения контроля роста опухоли и выживаемости пациентов [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70">
        <w:r>
          <w:rPr>
            <w:color w:val="0000FF"/>
          </w:rPr>
          <w:t>59</w:t>
        </w:r>
      </w:hyperlink>
      <w:r>
        <w:t xml:space="preserve"> - </w:t>
      </w:r>
      <w:hyperlink w:anchor="P571">
        <w:r>
          <w:rPr>
            <w:color w:val="0000FF"/>
          </w:rPr>
          <w:t>60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пациентам назначается #ниволумаб** в одном из дозовых режимов (выбор режима не влияет на клиническую эффективность) или #пембролизумаб** до клинически значимого прогрессирования опухоли. Оправданно применение #ниволумаба** у пациентов с классом В цирроза печени по Child-Pugh (7 - 9 баллов). Нет данных о негативном влиянии иммунотерапии на течение цирроза печени. Вероятность реактивации вирусных гепатитов низкая, хотя в случаях HBs-положительного хронического вирусного гепатита В необходима одновременная противовирусная терапия аналогами нуклеозидов в течение всего противоопухолевого лечения.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Фиброламеллярная карцинома, как правило, нечувствительна к терапии препаратами из группы моноклональных антител к PD-1 (ингибиторам контрольных точек иммунного надзора).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 xml:space="preserve">- Рекомендуется терапия противоопухолевыми препаратами </w:t>
      </w:r>
      <w:hyperlink w:anchor="P152">
        <w:r>
          <w:rPr>
            <w:color w:val="0000FF"/>
          </w:rPr>
          <w:t>(таблица 1)</w:t>
        </w:r>
      </w:hyperlink>
      <w:r>
        <w:t xml:space="preserve"> в качестве лечебной опции у пациентов с ГЦР без цирроза, например, при фиброламеллярной карциноме в качестве 2-й линии терапии для улучшения контроля роста опухоли, улучшения качества жизни пациентов [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72">
        <w:r>
          <w:rPr>
            <w:color w:val="0000FF"/>
          </w:rPr>
          <w:t>61</w:t>
        </w:r>
      </w:hyperlink>
      <w:r>
        <w:t xml:space="preserve">, </w:t>
      </w:r>
      <w:hyperlink w:anchor="P573">
        <w:r>
          <w:rPr>
            <w:color w:val="0000FF"/>
          </w:rPr>
          <w:t>62</w:t>
        </w:r>
      </w:hyperlink>
      <w:r>
        <w:t xml:space="preserve">, </w:t>
      </w:r>
      <w:hyperlink w:anchor="P596">
        <w:r>
          <w:rPr>
            <w:color w:val="0000FF"/>
          </w:rPr>
          <w:t>85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Комментарии: применяются платиносодержащие режимы в сочетании с #гемцитабином** </w:t>
      </w:r>
      <w:hyperlink w:anchor="P152">
        <w:r>
          <w:rPr>
            <w:color w:val="0000FF"/>
          </w:rPr>
          <w:t>(таблица 1)</w:t>
        </w:r>
      </w:hyperlink>
      <w:r>
        <w:t>. При смешанном гистологическом варианте - гепатохолангиоцеллюлярном раке в 1-й линии лечения предпочтение отдается цитостатической химиотерапии, поскольку считается, что прогноз жизни определяется холангиоцеллюлярным компонентом опухоли, как наиболее злокачественным. Она не увеличивает продолжительность жизни и эффективна в менее чем в 20% случаев.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для оценки эффективности противоопухолевого лечения у пациентов с ГЦР проводить мультифазную КТ и/или МРТ (с контрастным усилением) каждые 2 - 3 мес. по критериям RECIST 1.1 </w:t>
      </w:r>
      <w:hyperlink w:anchor="P955">
        <w:r>
          <w:rPr>
            <w:color w:val="0000FF"/>
          </w:rPr>
          <w:t>(Приложение Г4)</w:t>
        </w:r>
      </w:hyperlink>
      <w:r>
        <w:t xml:space="preserve"> и/или mRECIST (для опухолевого поражения печени при циррозе) </w:t>
      </w:r>
      <w:hyperlink w:anchor="P574">
        <w:r>
          <w:rPr>
            <w:color w:val="0000FF"/>
          </w:rPr>
          <w:t>[63]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определение уровня АФП в динамике показано пациентам с исходно высоким его значением; самостоятельного клинического значения этот показатель не имеет.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3.7 Сопроводительная терапия и лечение фоновой патологии печени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Пациентам с ГЦР рекомендуется терапия сопутствующего хронического вирусного гепатита B (титр HBV-DNA &gt; 2 x 10</w:t>
      </w:r>
      <w:r>
        <w:rPr>
          <w:vertAlign w:val="superscript"/>
        </w:rPr>
        <w:t>2</w:t>
      </w:r>
      <w:r>
        <w:t>) противовирусными средствами (аналоги нуклеотидов) одновременно с лекарственным или интервенционно-радиологическим лечением независимо от выраженности цитолитического синдрома для улучшения выживаемости пациентов. Противовирусная терапия после хирургического лечения (резекции, трансплантации печени) может улучшить отдаленные результаты [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48">
        <w:r>
          <w:rPr>
            <w:color w:val="0000FF"/>
          </w:rPr>
          <w:t>37</w:t>
        </w:r>
      </w:hyperlink>
      <w:r>
        <w:t xml:space="preserve">, </w:t>
      </w:r>
      <w:hyperlink w:anchor="P549">
        <w:r>
          <w:rPr>
            <w:color w:val="0000FF"/>
          </w:rPr>
          <w:t>38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хронический вирусный гепатит C чаще всего не влияет на возможности проведения системной противоопухолевой терапии. Специфическая противовирусная терапия интерфероновыми режимами не проводится. Влияние безинтерфероновых режимов лечения вирусного гепатита C на течение ГЦР активно изучается в клинических исследованиях. При активизации HCV (цитолитическом синдроме - кратном увеличении уровня аспартатаминотрансферазы (АСТ)/аланинаминотрансферазы (АЛТ)) после радикального лечения, ТАХЭ или на фоне системной терапии возможно одновременное проведение курса лечения прямыми противовирусными агентами у пациентов с компенсированной функцией печени.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при варикозном расширении вен пищевода/желудка II - III степени у пациентов с ГЦР на фоне цирроза печени проводить первичную профилактику желудочно-пищеводного кровотечения неселективными </w:t>
      </w:r>
      <w:r>
        <w:rPr>
          <w:noProof/>
          <w:position w:val="-6"/>
        </w:rPr>
        <w:drawing>
          <wp:inline distT="0" distB="0" distL="0" distR="0">
            <wp:extent cx="125730" cy="22606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-адреноблокаторами [</w:t>
      </w:r>
      <w:hyperlink w:anchor="P575">
        <w:r>
          <w:rPr>
            <w:color w:val="0000FF"/>
          </w:rPr>
          <w:t>64</w:t>
        </w:r>
      </w:hyperlink>
      <w:r>
        <w:t xml:space="preserve">, </w:t>
      </w:r>
      <w:hyperlink w:anchor="P591">
        <w:r>
          <w:rPr>
            <w:color w:val="0000FF"/>
          </w:rPr>
          <w:t>80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- 4).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при неэффективности медикаментозного лечения варикозного расширения вен пищевода и/или желудка III степени, при угрозе кровотечения, а также для вторичной профилактики рецидивного кровотечения выполняют лигирование варикозно-расширенных вен [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40">
        <w:r>
          <w:rPr>
            <w:color w:val="0000FF"/>
          </w:rPr>
          <w:t>29</w:t>
        </w:r>
      </w:hyperlink>
      <w:r>
        <w:t xml:space="preserve">, </w:t>
      </w:r>
      <w:hyperlink w:anchor="P575">
        <w:r>
          <w:rPr>
            <w:color w:val="0000FF"/>
          </w:rPr>
          <w:t>64</w:t>
        </w:r>
      </w:hyperlink>
      <w:r>
        <w:t xml:space="preserve">, </w:t>
      </w:r>
      <w:hyperlink w:anchor="P591">
        <w:r>
          <w:rPr>
            <w:color w:val="0000FF"/>
          </w:rPr>
          <w:t>80</w:t>
        </w:r>
      </w:hyperlink>
      <w:r>
        <w:t>].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lastRenderedPageBreak/>
        <w:t>3.8. Обезболивающая терапия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Выбор противоболевой терапии у пациентов с ГЦР с хроническим болевым синдромом осуществляется в соответствии с "Хронический болевой синдром (ХБС) у взрослых пациентов, нуждающихся в паллиативной медицинской помощи".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При выборе медикаментозной терапии болевого синдрома следует учитывать особенности метаболизма препаратов в условиях цирроза печени и/или печеночной недостаточности.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4. Реабилитация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 xml:space="preserve">- Пациентам с ГЦР после оперативных вмешательств рекомендуется проводить реабилитацию, ориентируясь на общие принципы реабилитации пациентов после проведенных хирургических вмешательств, ТАХЭ и/или химиотерапии для улучшения клинических и функциональных исходов </w:t>
      </w:r>
      <w:hyperlink w:anchor="P576">
        <w:r>
          <w:rPr>
            <w:color w:val="0000FF"/>
          </w:rPr>
          <w:t>[65]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- 3).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4.1 Предреабилитация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С целью повышения кардиореспираторной выносливости на этапе подготовки к проведению противоопухолевого лечения пациентам с ГЦР рекомендуются занятия лечебной физкультурой (ЛФК) в домашних условиях (аэробная и анаэробная физическая нагрузка средней интенсивности) не менее 15 мин. в день 6 - 7 раз в неделю для снижения частоты послеоперационных осложнений </w:t>
      </w:r>
      <w:hyperlink w:anchor="P576">
        <w:r>
          <w:rPr>
            <w:color w:val="0000FF"/>
          </w:rPr>
          <w:t>[65]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- 3).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Пациентам с ГЦР рекомендуется нутритивная поддержка при наличии хотя бы одного из перечисленных факторов: непреднамеренное снижение массы тела на 10% и более от исходной за последние 6 мес., индекс массы тела &lt; 18,5 кг/м</w:t>
      </w:r>
      <w:r>
        <w:rPr>
          <w:vertAlign w:val="superscript"/>
        </w:rPr>
        <w:t>2</w:t>
      </w:r>
      <w:r>
        <w:t xml:space="preserve">, недостаточный объем принимаемой пищи (калорийность &lt; 1500 ккал/сут) для улучшения результатов лечения и выживаемости пациентов </w:t>
      </w:r>
      <w:hyperlink w:anchor="P577">
        <w:r>
          <w:rPr>
            <w:color w:val="0000FF"/>
          </w:rPr>
          <w:t>[66]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целью нутритивной поддержки в совокупности с проведением ЛФК является поддержание функционального состояния пациента и предотвращение развития саркопении. При этом предпочтительный способ нутритивной поддержки - пероральное питание (сиппинг). При невозможности или неадекватности перорального питания необходима установка назогастрального зонда или наложение временной гастростомы.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Калорийность рациона должна составлять 25 - 30 ккал на кг массы тела в сутки, доза белка - 1,0 - 1,5 г на кг массы тела в сутки. Необходимо удовлетворение суточной потребности в витаминах и микроэлементах. Предпочтительнее использовать готовые смеси, обогащенные белком и омега-3-полиненасыщенными жирными кислотами, в суточной дозе не менее 400 мл (готового напитка). При использовании нутритивной поддержки в течение как минимум 7 дней частота инфекционных осложнений и длительность госпитализации в послеоперационном периоде достоверно уменьшаются </w:t>
      </w:r>
      <w:hyperlink w:anchor="P578">
        <w:r>
          <w:rPr>
            <w:color w:val="0000FF"/>
          </w:rPr>
          <w:t>[67]</w:t>
        </w:r>
      </w:hyperlink>
      <w:r>
        <w:t>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4.2 Реабилитация при хирургическом лечении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3"/>
      </w:pPr>
      <w:r>
        <w:t>4.2.1 Первый этап реабилитации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Рекомендуется ранняя мобилизация и активизация пациента с ГЦР (вертикализация, дыхательная гимнастика, занятия ЛФК) под контролем инструктора начиная с 1 - 2-го дня после </w:t>
      </w:r>
      <w:r>
        <w:lastRenderedPageBreak/>
        <w:t>операции для снижения частоты осложнений и сокращения сроков госпитализации [</w:t>
      </w:r>
      <w:hyperlink w:anchor="P578">
        <w:r>
          <w:rPr>
            <w:color w:val="0000FF"/>
          </w:rPr>
          <w:t>67</w:t>
        </w:r>
      </w:hyperlink>
      <w:r>
        <w:t xml:space="preserve">, </w:t>
      </w:r>
      <w:hyperlink w:anchor="P579">
        <w:r>
          <w:rPr>
            <w:color w:val="0000FF"/>
          </w:rPr>
          <w:t>68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A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Пациентам с ГЦР рекомендуется раннее начало энтерального питания (на 2-е послеоперационные сутки) с ориентацией на общие принципы нутритивной поддержки после хирургических вмешательств на органах брюшной полости для уменьшения частоты осложнений и длительности госпитализации </w:t>
      </w:r>
      <w:hyperlink w:anchor="P577">
        <w:r>
          <w:rPr>
            <w:color w:val="0000FF"/>
          </w:rPr>
          <w:t>[66]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цель проведения ранней мобилизации пациента в совокупности с адекватной нутритивной поддержкой состоит в улучшении кардиореспираторной выносливости пациента, следствием чего является уменьшение частоты нехирургических осложнений и длительности госпитализации.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3"/>
      </w:pPr>
      <w:r>
        <w:t>4.2.2 Второй этап реабилитации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Пациентам рекомендуются аэробные нагрузки с постепенным увеличением их интенсивности длительностью до 150 мин. в неделю, а также упражнения с сопротивлением (по 8 - 10 повторений на основные группы мышц) 2 раза в неделю под контролем инструктора ЛФК для улучшения качества жизни пациента и ускорения социальной реабилитации </w:t>
      </w:r>
      <w:hyperlink w:anchor="P580">
        <w:r>
          <w:rPr>
            <w:color w:val="0000FF"/>
          </w:rPr>
          <w:t>[69</w:t>
        </w:r>
      </w:hyperlink>
      <w:r>
        <w:t xml:space="preserve">, </w:t>
      </w:r>
      <w:hyperlink w:anchor="P581">
        <w:r>
          <w:rPr>
            <w:color w:val="0000FF"/>
          </w:rPr>
          <w:t>70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- 3).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целью физической нагрузки является восстановление кардиореспираторной выносливости, что препятствует развитию мышечной слабости, возникновению и прогрессированию саркопении, улучшает качество жизни пациента и ускоряет его социальную реабилитацию.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Пациентам с ГЦР рекомендуется проведение сеансов электросна по общепринятой методике для улучшения качества жизни </w:t>
      </w:r>
      <w:hyperlink w:anchor="P582">
        <w:r>
          <w:rPr>
            <w:color w:val="0000FF"/>
          </w:rPr>
          <w:t>[71]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целью проведения сеансов электросна является получение выраженного седативного эффекта, который уменьшает проявления астенического и депрессивного синдромов, снижает интенсивность головных болей, проявления дискинезии желчевыводящих путей, что значительно улучшает качество жизни пациента.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3"/>
      </w:pPr>
      <w:r>
        <w:t>4.2.3 Третий этап реабилитации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Пациентам с ГЦР, находящимся в ремиссии, в домашних условиях рекомендуются регулярные занятия ЛФК, начинающиеся с аэробной нагрузки низкой интенсивности с постепенным увеличением ее до аэробной нагрузки умеренной интенсивности в совокупности с упражнениями с сопротивлением на основные группы мышц (по 15 - 20 мин., по 8 - 10 повторений) дважды в неделю для улучшения кардиореспираторной выносливости и повышения качества жизни </w:t>
      </w:r>
      <w:hyperlink w:anchor="P583">
        <w:r>
          <w:rPr>
            <w:color w:val="0000FF"/>
          </w:rPr>
          <w:t>[72]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целью занятий ЛФК является обеспечение сохранения мышечной массы, улучшение кардиореспираторной выносливости, повышение качества жизни и увеличение общей выживаемости. Желательное время тренировки - не менее 30 мин. в день с умеренной интенсивностью несколько (большинство) дней в неделю, принимая во внимание наличие и тяжесть осложнений противоопухолевого лечения.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2"/>
      </w:pPr>
      <w:r>
        <w:t>4.3 Реабилитация при химиотерапии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Пациентам с ГЦР, получающим химиотерапевтическое лечение, рекомендуются занятия ЛФК с включением аэробной нагрузки средней интенсивности в домашних условиях с целью повышения кардиореспираторной выносливости </w:t>
      </w:r>
      <w:hyperlink w:anchor="P584">
        <w:r>
          <w:rPr>
            <w:color w:val="0000FF"/>
          </w:rPr>
          <w:t>[73]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При развитии полинейропатии пациентам с ГЦР рекомендуется проведение поликомпонентной программы реабилитации, включающей в себя упражнения на тренировку баланса, низкоинтенсивную лазеротерапию, низкочастотную магнитотерапию, чрескожную электростимуляцию для уменьшения явления полинейропатии [</w:t>
      </w:r>
      <w:hyperlink w:anchor="P585">
        <w:r>
          <w:rPr>
            <w:color w:val="0000FF"/>
          </w:rPr>
          <w:t>74</w:t>
        </w:r>
      </w:hyperlink>
      <w:r>
        <w:t xml:space="preserve"> - </w:t>
      </w:r>
      <w:hyperlink w:anchor="P588">
        <w:r>
          <w:rPr>
            <w:color w:val="0000FF"/>
          </w:rPr>
          <w:t>77</w:t>
        </w:r>
      </w:hyperlink>
      <w:r>
        <w:t>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- 2).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- В течение всего курса химиотерапии пациентам с ГЦР рекомендуется нутритивная поддержка по показаниям в режиме, совпадающем с режимом нутритивной поддержки на предоперационном этапе для сохранения мышечной массы </w:t>
      </w:r>
      <w:hyperlink w:anchor="P577">
        <w:r>
          <w:rPr>
            <w:color w:val="0000FF"/>
          </w:rPr>
          <w:t>[66]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B (уровень достоверности доказательств - 3).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нутритивная поддержка необходима с целью сохранения мышечной массы, что в совокупности с посильной физической нагрузкой, препятствует усилению токсичности химиотерапии.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5. Профилактика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- Рекомендуется соблюдать следующую периодичность наблюдения после завершения радикального лечения по поводу ГЦР и применять следующие методы наблюдения для раннего выявления прогрессирования заболевания [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40">
        <w:r>
          <w:rPr>
            <w:color w:val="0000FF"/>
          </w:rPr>
          <w:t>29</w:t>
        </w:r>
      </w:hyperlink>
      <w:r>
        <w:t>]: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сбор анамнеза и физикальное обследование - каждые 3 - 6 мес., далее 1 раз в 6 - 12 мес;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определение уровня АФП (если исходно он был повышен) - каждые 3 - 4 мес. в первые 2 года, далее 1 раз в 6 - 12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УЗИ органов брюшной полости - каждые 3 - 4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КТ или МРТ органов брюшной полости с внутривенным контрастированием - каждые 3 - 6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рентгенография органов грудной клетки - каждые 12 мес.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Комментарии: задачей наблюдения является раннее выявление прогрессирования заболевания после завершения лечения с целью раннего проведения хирургического лечения резектабельных метастатических очагов, аблации и/или химиоэмболизации рецидивных опухолей, своевременного начала лекарственного противоопухолевого лечения.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Рекомендуется соблюдать следующую периодичность и применять следующие методы наблюдения за пациентами, проходящими противоопухолевое лечение по поводу ГЦР для раннего выявления прогрессирования заболевания [</w:t>
      </w:r>
      <w:hyperlink w:anchor="P518">
        <w:r>
          <w:rPr>
            <w:color w:val="0000FF"/>
          </w:rPr>
          <w:t>7</w:t>
        </w:r>
      </w:hyperlink>
      <w:r>
        <w:t xml:space="preserve">, </w:t>
      </w:r>
      <w:hyperlink w:anchor="P523">
        <w:r>
          <w:rPr>
            <w:color w:val="0000FF"/>
          </w:rPr>
          <w:t>12</w:t>
        </w:r>
      </w:hyperlink>
      <w:r>
        <w:t xml:space="preserve">, </w:t>
      </w:r>
      <w:hyperlink w:anchor="P540">
        <w:r>
          <w:rPr>
            <w:color w:val="0000FF"/>
          </w:rPr>
          <w:t>29</w:t>
        </w:r>
      </w:hyperlink>
      <w:r>
        <w:t>]: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сбор анамнеза заболевания и лечения, включая данные о сопутствующей патологии, и физикальное обследование;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2. развернутый клинический анализ крови (лейкоцитарная формула, число тромбоцитов);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биохимический анализ крови (определение уровня мочевины, креатинина, альбумина, глюкозы, АСТ, АЛТ, щелочной фосфатазы);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4. коагулограмма (международное нормализованное отношение);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5. определение уровня АФП - каждые 3 - 4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6. УЗИ органов брюшной полости - каждые 2 - 3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7. эзофагогастродуоденоскопия - каждые 6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8. мультифазная КТ или МРТ органов брюшной полости с внутривенным контрастированием - каждые 3 - 4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9. рентгенография органов грудной клетки - каждые 6 мес.;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10. сцинтиграфия костей всего тела - по показаниям.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Уровень убедительности рекомендаций - C (уровень достоверности доказательств - 5).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6. Организация медицинской помощи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 xml:space="preserve">Медицинская помощь, за исключением медицинской помощи в рамках клинической апробации,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21.11.2011 N 323-ФЗ (ред. от 25.05.2019) "Об основах охраны здоровья граждан в Российской Федерации", организуется и оказывается: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в соответствии с положением об организации оказания медицинской помощи по видам медицинской помощи, которое утверждается уполномоченным федеральным органом исполнительной власти;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в соответствии с порядком оказания помощи по профилю "онкология", обязательным для исполнения на территории Российской Федерации всеми медицинскими организациями;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на основе настоящих клинических рекомендаций;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4. с учетом стандартов медицинской помощи, утвержденных уполномоченным федеральным органом исполнительной власти.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Первичная специализированная медико-санитарная помощь оказывается врачом-онкологом и иными врачами-специалистами в центре амбулаторной онкологической помощи либо в первичном онкологическом кабинете, первичном онкологическом отделении, поликлиническом отделении онкологического диспансера.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При подозрении или выявлении у пациента онкологического заболевания врачи-терапевты, участковые врачи-терапевты, врачи общей практики (семейные врачи), врачи-специалисты, средние медицинские работники в установленном порядке направляют пациента на консультацию в центр амбулаторной онкологической помощи либо в первичный онкологический кабинет, первичное онкологическое отделение медицинской организации для оказания ему первичной специализированной медико-санитарной помощи.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Консультация в центре амбулаторной онкологической помощи либо в первичном онкологическом кабинете, первичном онкологическом отделении медицинской организации должна быть проведена не позднее 5 рабочих дней с даты выдачи направления на консультацию. Врач-онколог центра амбулаторной онкологической помощи (в случае отсутствия центра амбулаторной онкологической помощи врач-онколог первичного онкологического кабинета или </w:t>
      </w:r>
      <w:r>
        <w:lastRenderedPageBreak/>
        <w:t>первичного онкологического отделения) организует взятие биопсийного (операционного) материала, а также выполнение иных диагностических исследований, необходимых для установления диагноза, включая распространенность онкологического процесса и стадию заболевания.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 случае невозможности взятия в медицинской организации, в составе которой организован центр амбулаторной онкологической помощи (первичный онкологический кабинет, первичное онкологическое отделение), биопсийного (операционного) материала, проведения иных диагностических исследований пациент направляется лечащим врачом в онкологический диспансер или в медицинскую организацию, оказывающую медицинскую помощь пациентам с онкологическими заболеваниями.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Срок выполнения патологоанатомических исследований, необходимых для гистологической верификации злокачественного новообразования, не должен превышать 15 рабочих дней с даты поступления биопсийного (операционного) материала в патологоанатомическое бюро (отделение).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При выявлении у пациента онкологического заболевания или возникновении подозрения на него в ходе оказания ему скорой медицинской помощи его переводят или направляют в медицинские организации, оказывающие медицинскую помощь пациентам с онкологическими заболеваниями, для определения тактики ведения и необходимости применения дополнительно других методов специализированного противоопухолевого лечения.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Врач-онколог центра амбулаторной онкологической помощи (первичного онкологического кабинета, первичного онкологического отделения) направляет пациента в онкологический диспансер или в медицинские организации, оказывающие медицинскую помощь пациентам с онкологическими заболеваниями, для уточнения диагноза (в случае невозможности установления диагноза, включая распространенность онкологического процесса и стадию заболевания, врачом-онкологом центра амбулаторной онкологической помощи, первичного онкологического кабинета или первичного онкологического отделения) и оказания специализированной, в том числе высокотехнологичной, медицинской помощи.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Срок начала оказания специализированной, за исключением высокотехнологичной, медицинской помощи пациентам с онкологическими заболеваниями в медицинской организации, оказывающей медицинскую помощь пациентам с онкологическими заболеваниями, не должен превышать 14 календарных дней с даты гистологической верификации злокачественного новообразования или 14 календарных дней с даты установления предварительного диагноза злокачественного новообразования (в случае отсутствия медицинских показаний для проведения патолого-анатомических исследований в амбулаторных условиях).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Специализированная, в том числе высокотехнологичная, медицинская помощь оказывается врачами-онкологами, врачами-радиотерапевтами в онкологическом диспансере или в медицинских организациях, оказывающих медицинскую помощь пациенту с онкологическими заболеваниями, имеющих лицензию, необходимую материально-техническую базу, сертифицированных специалистов, в стационарных условиях и условиях дневного стационара и включает в себя профилактику, диагностику, лечение онкологических заболеваний, требующих использования специальных методов и сложных уникальных медицинских технологий, а также медицинскую реабилитацию.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 медицинской организации, оказывающей медицинскую помощь пациентам с онкологическими заболеваниями, тактика медицинского обследования и лечения устанавливается консилиумом врачей-онкологов и врачей-радиотерапевтов с привлечением при необходимости других врачей-специалистов. Решение консилиума врачей оформляется протоколом, подписывается участниками консилиума и вносится в медицинскую документацию пациента.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Показания к госпитализации в круглосуточный или дневной стационар медицинской организации, оказывающей специализированную, в том числе высокотехнологичную, медицинскую помощь по профилю "онкология", определяются консилиумом врачей-онкологов и врачей-радиотерапевтов с привлечением при необходимости других врачей-специалистов.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Показаниями к госпитализации в медицинскую организацию в экстренной или неотложной форме являются: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наличие осложнений онкологического заболевания, требующих оказания пациенту специализированной медицинской помощи в экстренной и неотложной форме;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наличие осложнений лечения (хирургического вмешательства, лучевой терапии, лекарственной терапии и т.д.) онкологического заболевания.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Показаниями к госпитализации в медицинскую организацию в плановой форме являются: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необходимость выполнения сложных интервенционных диагностических медицинских вмешательств, требующих последующего наблюдения в условиях круглосуточного или дневного стационара;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наличие показаний к специализированному противоопухолевому лечению (хирургическому вмешательству, лучевой терапии, в том числе контактной, дистанционной и других видов, лекарственной терапии и др.), требующему наблюдения в условиях круглосуточного или дневного стационара.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Показаниями к выписке пациента из медицинской организации являются: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завершение курса лечения или одного из этапов оказания специализированной, в том числе высокотехнологичной, медицинской помощи, в условиях круглосуточного или дневного стационара при отсутствии осложнений лечения, требующих медикаментозной коррекции и/или медицинских вмешательств в стационарных условиях;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отказ пациента или его законного представителя от специализированной, в том числе высокотехнологичной, медицинской помощи в условиях круглосуточного или дневного стационара, установленной консилиумом медицинской организации, оказывающей онкологическую помощь, при отсутствии осложнений основного заболевания и/или лечения, требующих медикаментозной коррекции и/или медицинских вмешательств в стационарных условиях;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необходимость перевода пациента в другую медицинскую организацию по соответствующему профилю оказания медицинской помощи.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Заключение о целесообразности перевода пациента в профильную медицинскую организацию выносится после предварительной консультации по предоставленным медицинским документам и/или предварительного осмотра пациента врачами специалистами медицинской организации, в которую планируется перевод.</w:t>
      </w:r>
    </w:p>
    <w:p w:rsidR="00261B8C" w:rsidRDefault="00261B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261B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B8C" w:rsidRDefault="00261B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B8C" w:rsidRDefault="00261B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61B8C" w:rsidRDefault="00261B8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61B8C" w:rsidRDefault="00261B8C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B8C" w:rsidRDefault="00261B8C">
            <w:pPr>
              <w:pStyle w:val="ConsPlusNormal"/>
            </w:pPr>
          </w:p>
        </w:tc>
      </w:tr>
    </w:tbl>
    <w:p w:rsidR="00261B8C" w:rsidRDefault="00261B8C">
      <w:pPr>
        <w:pStyle w:val="ConsPlusTitle"/>
        <w:spacing w:before="280"/>
        <w:ind w:firstLine="540"/>
        <w:jc w:val="both"/>
        <w:outlineLvl w:val="1"/>
      </w:pPr>
      <w:r>
        <w:t>6. Дополнительная информация, влияющая на течение и исход заболевания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Нет.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Критерии оценки качества медицинской помощи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6350"/>
        <w:gridCol w:w="2268"/>
      </w:tblGrid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Критерии качества</w:t>
            </w:r>
          </w:p>
        </w:tc>
        <w:tc>
          <w:tcPr>
            <w:tcW w:w="2268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Оценка выполнения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1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Выполнена морфологическая верификация диагноза до начала лечения, за исключением случаев сопутствующего декомпенсированного цирроза или планируемого радикального хирургического лечения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2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Выполнена контрастная 4-фазная компьютерная томография или магнитно-резонансная томография органов брюшной полости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3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Выполнено исследование уровня альфа-фетопротеина в крови (при установлении диагноза)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4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Определена стадия опухолевого процесса до начала противоопухолевого лечения (по классификации TNM, AJCC и BCLC)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5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Определен класс цирроза печени по классификации Child-Pugh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6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Проведена консультация врача-хирурга (гепатолога) и врача-трансплантолога (при отсутствии внепеченочных проявлений опухоли)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7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Проведена консультация врача-гастроэнтеролога-(гепатолога) перед началом противоопухолевого лечения (пациентам с хроническими вирусными гепатитами, компенсированным циррозом печени)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8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Проведена консультация врача по рентгеноэндоваскулярным диагностике и лечению перед началом противоопухолевого лечения (при отсутствии внепеченочных проявлений опухоли и при компенсированной функции печени)</w:t>
            </w:r>
          </w:p>
        </w:tc>
        <w:tc>
          <w:tcPr>
            <w:tcW w:w="2268" w:type="dxa"/>
            <w:vAlign w:val="center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9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Проведена консультация врача-онколога - при противопоказаниях к локальному лечению (при компенсированной функции печени)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10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Выполнено гистологическое исследование удаленной ткани с указанием параметров в соответствии с рекомендациями (у пациентов, перенесших хирургическое вмешательство)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11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Назначена и проведена системная терапия 1-й линии рака печени стадии BCLC A/B/C по показаниям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c>
          <w:tcPr>
            <w:tcW w:w="454" w:type="dxa"/>
            <w:vAlign w:val="center"/>
          </w:tcPr>
          <w:p w:rsidR="00261B8C" w:rsidRDefault="00261B8C">
            <w:pPr>
              <w:pStyle w:val="ConsPlusNormal"/>
            </w:pPr>
            <w:r>
              <w:t>12</w:t>
            </w:r>
          </w:p>
        </w:tc>
        <w:tc>
          <w:tcPr>
            <w:tcW w:w="6350" w:type="dxa"/>
            <w:vAlign w:val="center"/>
          </w:tcPr>
          <w:p w:rsidR="00261B8C" w:rsidRDefault="00261B8C">
            <w:pPr>
              <w:pStyle w:val="ConsPlusNormal"/>
            </w:pPr>
            <w:r>
              <w:t>Оценена эффективность системной терапии с использованием объективных методов диагностики и критериев оценки (RECIST 1.1)</w:t>
            </w:r>
          </w:p>
        </w:tc>
        <w:tc>
          <w:tcPr>
            <w:tcW w:w="2268" w:type="dxa"/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2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8"/>
              <w:gridCol w:w="109"/>
              <w:gridCol w:w="8672"/>
              <w:gridCol w:w="109"/>
            </w:tblGrid>
            <w:tr w:rsidR="00261B8C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1B8C" w:rsidRDefault="00261B8C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1B8C" w:rsidRDefault="00261B8C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261B8C" w:rsidRDefault="00261B8C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261B8C" w:rsidRDefault="00261B8C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1B8C" w:rsidRDefault="00261B8C">
                  <w:pPr>
                    <w:pStyle w:val="ConsPlusNormal"/>
                  </w:pPr>
                </w:p>
              </w:tc>
            </w:tr>
          </w:tbl>
          <w:p w:rsidR="00261B8C" w:rsidRDefault="00261B8C">
            <w:pPr>
              <w:pStyle w:val="ConsPlusNormal"/>
            </w:pPr>
          </w:p>
        </w:tc>
      </w:tr>
      <w:tr w:rsidR="00261B8C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</w:tcBorders>
            <w:vAlign w:val="center"/>
          </w:tcPr>
          <w:p w:rsidR="00261B8C" w:rsidRDefault="00261B8C">
            <w:pPr>
              <w:pStyle w:val="ConsPlusNormal"/>
            </w:pPr>
            <w:r>
              <w:t>14</w:t>
            </w:r>
          </w:p>
        </w:tc>
        <w:tc>
          <w:tcPr>
            <w:tcW w:w="6350" w:type="dxa"/>
            <w:tcBorders>
              <w:top w:val="nil"/>
            </w:tcBorders>
            <w:vAlign w:val="center"/>
          </w:tcPr>
          <w:p w:rsidR="00261B8C" w:rsidRDefault="00261B8C">
            <w:pPr>
              <w:pStyle w:val="ConsPlusNormal"/>
            </w:pPr>
            <w:r>
              <w:t>Проведена трансартериальная (химио-) эмболизация при локализованном внутрипеченочном процессе стадии BCLC A/B</w:t>
            </w:r>
          </w:p>
        </w:tc>
        <w:tc>
          <w:tcPr>
            <w:tcW w:w="2268" w:type="dxa"/>
            <w:tcBorders>
              <w:top w:val="nil"/>
            </w:tcBorders>
          </w:tcPr>
          <w:p w:rsidR="00261B8C" w:rsidRDefault="00261B8C">
            <w:pPr>
              <w:pStyle w:val="ConsPlusNormal"/>
            </w:pPr>
            <w:r>
              <w:t>Да/Нет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lastRenderedPageBreak/>
        <w:t>Список литературы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bookmarkStart w:id="1" w:name="P512"/>
      <w:bookmarkEnd w:id="1"/>
      <w:r>
        <w:t>1. Злокачественные новообразования в России в 2014 году (заболеваемость и смертность). Под ред. А.Д. Каприна, В.В. Старинского, Г.В. Петровой. М.: МНИОИ им. П.А. Герцена - филиал ФГБУ НМИРЦ Минздрава России, 2016. 250 с.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" w:name="P513"/>
      <w:bookmarkEnd w:id="2"/>
      <w:r>
        <w:t>2. AJCC cancer staging manual, eight edition. Springer International Publishing, 2017.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" w:name="P514"/>
      <w:bookmarkEnd w:id="3"/>
      <w:r>
        <w:t>3. European Association for the Study of the Liver. EASL clinical practice guidelines: management of hepatocellular carcinoma. J Hepatol 2018; 69(1): 182 - 236.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" w:name="P515"/>
      <w:bookmarkEnd w:id="4"/>
      <w:r>
        <w:t>4. Forner A., Reig M., Bruix J. Hepatocellular carcinoma. Lancet 2018; 391(10127): 1301 - 14.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" w:name="P516"/>
      <w:bookmarkEnd w:id="5"/>
      <w:r>
        <w:t>5. Fattovich G., Stroffolini T., Zagni I., Donato F. Hepatocellular carcinoma in cirrhosis: incidence and risk factors. Gastroenterology 2004; 127(5 Suppl 1): S35 - 50.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" w:name="P517"/>
      <w:bookmarkEnd w:id="6"/>
      <w:r>
        <w:t>6. Vogel A., Cervantes A., Chau I. et al. Hepatocellular carcinoma: ESMO Clinical Practice. Guidelines for diagnosis, treatment and follow-up. Ann Oncol 2018; 29(Suppl 4): iv238 - 55.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7" w:name="P518"/>
      <w:bookmarkEnd w:id="7"/>
      <w:r>
        <w:t>7. Marrero J.A., Kulik L.M., Sirlin C.B. et al. Diagnosis, staging, and management of hepatocellular carcinoma: 2018 practice guidance by the American Association for the Study of Liver Diseases. Hepatology 2018; 68(2): 723 - 50.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8. Terrault N.A., Bzowej N.H., Chang K.M. et al. AASLD guidelines for treatment of chronic hepatitis B. Hepatology 2016; 63: 261 - 83.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8" w:name="P520"/>
      <w:bookmarkEnd w:id="8"/>
      <w:r>
        <w:t>9. Hepatitis C Guidance 2018 Update: AASLD-IDSA recommendations for testing, managing, and treating hepatitis C virus infection. Available at: https://www.aasld.org/sites/default/files/2019-06/PracticeGuidelines-HCV-November2018.pdf.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9" w:name="P521"/>
      <w:bookmarkEnd w:id="9"/>
      <w:r>
        <w:t>10. Waidely E., Al-Yuobi A.R., Bashammakh A.S. et al. Serum protein biomarkers relevant to hepatocellular carcinoma and their detection. Analyst 2016; 141(1): 36 - 44.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0" w:name="P522"/>
      <w:bookmarkEnd w:id="10"/>
      <w:r>
        <w:t>11. Arrieta O., Cacho B., Morales-Espinosa D. et al. The progressive elevation of alpha fetoprotein for the diagnosis of hepatocellular carcinoma in patients with liver cirrhosis. BMC Cancer 2007; 7: 28.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1" w:name="P523"/>
      <w:bookmarkEnd w:id="11"/>
      <w:r>
        <w:t>12. NCCN Clinical Practice Guidelines in Oncology. Hepatobiliary Cancers, version 3.2019. Available at: https://www.nccn.org/professionals/physician_gls/pdf/hepatobiliary.pdf.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2" w:name="P524"/>
      <w:bookmarkEnd w:id="12"/>
      <w:r>
        <w:t>13. Peng Y., Qi X., Guo X. Child-Pugh versus MELD Score for the assessment of prognosis in liver cirrhosis a systematic review and meta-analysis of observational studies. Medicine (Baltimore) 2016; 95(8): e2877.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3" w:name="P525"/>
      <w:bookmarkEnd w:id="13"/>
      <w:r>
        <w:t>14. Forner A., Vilana R., Ayuso C. et al. Diagnosis of hepatic nodules 20 mm or smaller in cirrhosis: Prospective validation of the noninvasive diagnostic criteria for hepatocellular carcinoma. Hepatology 2008; 47: 97 - 104.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15. Chou R., Cuevas C., Fu R. et al. Imaging techniques for the diagnosis of hepatocellular carcinoma: a systematic review and meta-analysis. Ann Intern Med 2015; 162: 697 - 711.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4" w:name="P527"/>
      <w:bookmarkEnd w:id="14"/>
      <w:r>
        <w:t>16. Lee Y.J., Lee J.M., Lee J.S. et al. Hepatocellular carcinoma: diagnostic performance of multidetector CT and MR imaging - a systematic review and meta-analysis. Radiology 2015; 275: 97 - 109.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5" w:name="P528"/>
      <w:bookmarkEnd w:id="15"/>
      <w:r>
        <w:t xml:space="preserve">17. Cerny M., Chernyak V., </w:t>
      </w:r>
      <w:r>
        <w:rPr>
          <w:noProof/>
          <w:position w:val="-4"/>
        </w:rPr>
        <w:drawing>
          <wp:inline distT="0" distB="0" distL="0" distR="0">
            <wp:extent cx="477520" cy="19304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D. et al. LI-RADS Ver 2018 Ancillary Features at MRI. Radiographics 2018; 38(7): 1973 - 2001.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6" w:name="P529"/>
      <w:bookmarkEnd w:id="16"/>
      <w:r>
        <w:lastRenderedPageBreak/>
        <w:t xml:space="preserve">18. Chernyak V., Santillan C.S., Papadatos D. et al. </w:t>
      </w:r>
      <w:r>
        <w:rPr>
          <w:noProof/>
          <w:position w:val="-4"/>
        </w:rPr>
        <w:drawing>
          <wp:inline distT="0" distB="0" distL="0" distR="0">
            <wp:extent cx="838200" cy="19304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algorithm: CT and MRI. Abdom Radiol 2018; 43(1): 111 - 26.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7" w:name="P530"/>
      <w:bookmarkEnd w:id="17"/>
      <w:r>
        <w:t>19. Ludwig D.R., Fraum T.J., Cannella R. et al. Expanding the Liver Imaging Reporting and Data System (LI-RADS) v2018 diagnostic population: performance and reliability of LI-RADS for distinguishing hepatocellular carcinoma (HCC) from non-HCC primary liver carcinoma in patients who do not meet strict LI-RADS high-risk criteria. HPB (Oxford) 2019; 28(6): pii: S1365-182X(19)30525-8.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8" w:name="P531"/>
      <w:bookmarkEnd w:id="18"/>
      <w:r>
        <w:t>20. Elsayes K.M., Kielar A.Z., Chernyak V. et al. LI-RADS: a conceptual and historical review from its beginning to its recent integration into AASLD clinical practice guidance. J Hepatocell Carcinoma 2019; 6: 49 - 69.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19" w:name="P532"/>
      <w:bookmarkEnd w:id="19"/>
      <w:r>
        <w:t>21. Katyal S., Oliver J.H., Peterson M.S. et al. Extrahepatic metastases of hepatocellular carcinoma. Radiology 2000; 216: 698 - 703.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0" w:name="P533"/>
      <w:bookmarkEnd w:id="20"/>
      <w:r>
        <w:t>22. Natsuizaka M., Omura T., Akaike T. et al. Clinical features of hepatocellular carcinoma with extrahepatic metastases. J Gastroenterol Hepatol 2005; 20: 1781 - 7.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1" w:name="P534"/>
      <w:bookmarkEnd w:id="21"/>
      <w:r>
        <w:t>23. Stewart C.J., Coldewey J., Stewart I.S. Comparison of fine needle aspiration cytology and needle core biopsy in the diagnosis of radiologically detected abdominal lesions. J Clin Pathol 2002; 55: 93 - 7.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2" w:name="P535"/>
      <w:bookmarkEnd w:id="22"/>
      <w:r>
        <w:t>24. Sangiovanni A., Manini M.A., Iavarone M. et al. The diagnostic and economic impact of contrast imaging techniques in the diagnosis of small hepatocellular carcinoma in cirrhosis. Gut 2010; 59: 638 - 44.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3" w:name="P536"/>
      <w:bookmarkEnd w:id="23"/>
      <w:r>
        <w:t>25. Intenzo C., Kim S., Lakhani P. Utility of FDG-PET/CT in Detecting Metastases from Hepatocellular Carcinoma. J Nucl Med 2017; 58 Suppl 1: 427.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4" w:name="P537"/>
      <w:bookmarkEnd w:id="24"/>
      <w:r>
        <w:t>26. Marrero J.A., Fontana R.J., Barrat A. et al. Prognosis of hepatocellular carcinoma: comparison of 7 staging systems in an American cohort. Hepatology 2005; 41: 707 - 15.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5" w:name="P538"/>
      <w:bookmarkEnd w:id="25"/>
      <w:r>
        <w:t>27. Cillo U., Vitale A., Grigoletto F. et al. Prospective validation of the Barcelona Clinic Liver Cancer staging system. J Hepatol 2006; 44: 723 - 31.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6" w:name="P539"/>
      <w:bookmarkEnd w:id="26"/>
      <w:r>
        <w:t>28. Chen C.H., Hu F.C., Huang G.T. et al. Applicability of staging systems for patients with hepatocellular carcinoma is dependent on treatment method - analysis of 2010 Taiwanese patients. Eur J Cancer 2009; 45: 1630 - 9.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7" w:name="P540"/>
      <w:bookmarkEnd w:id="27"/>
      <w:r>
        <w:t>29. EASL clinical practice guidelines: management of hepatocellular carcinoma. J Hepatol 2018; 69: 182 - 236.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30. Truty M.J., Vauthey J.-N. Surgical resection of high-risk hepatocellular carcinoma: patient selection, preoperative considerations, and operative technique. Ann Surg Oncol 2010; 17: 1219 - 25.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31. Pawlik T.M., Poon R.T., Abdalla E.K. et al. Critical appraisal of the clinical and pathologic predictors of survival after resection of large hepatocellular carcinoma. Arch Surg 2005; 140: 450 - 7.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32. Chok K.S., Ng K.K., Poon R.T. et al. Impact of postoperative complications on long-term outcome of curative resection for hepatocellular carcinoma. Br J Surg 2009; 96: 81 - 7.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33. Ribero D., Curley S.A., Imamura H. et al. Selection for resection of hepatocellular carcinoma and surgical strategy: indications for resection, evaluation of liver function, portal vein embolization, and resection. Ann Surg Oncol 2008; 15: 986 - 92.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8" w:name="P545"/>
      <w:bookmarkEnd w:id="28"/>
      <w:r>
        <w:t xml:space="preserve">34. Berzigotti A., Reig M., Abraldes J.G. et al. Portal hypertension and the outcome of surgery for </w:t>
      </w:r>
      <w:r>
        <w:lastRenderedPageBreak/>
        <w:t>hepatocellular carcinoma in compensated cirrhosis: a systematic review and meta-analysis. Hepatology 2015; 61: 526 - 36.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29" w:name="P546"/>
      <w:bookmarkEnd w:id="29"/>
      <w:r>
        <w:t>35. Fujiki M., Aucejo F., Kim R. General overview of neo-adjuvant therapy for hepatocellular carcinoma before liver transplantation: necessity or option? Liver Int 2011; 31: 1081 - 9.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0" w:name="P547"/>
      <w:bookmarkEnd w:id="30"/>
      <w:r>
        <w:t>36. Majno P., Giostra E., Mentha G. Management of hepatocellular carcinoma on the waiting list before liver transplantation: time for controlled trials? Liver Transpl 2007; 13: S27 - 35.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1" w:name="P548"/>
      <w:bookmarkEnd w:id="31"/>
      <w:r>
        <w:t>37. Yin J., Li N., Han Y. et al. Effect of antiviral treatment with nucleotide/nucleoside analogs on postoperative prognosis of hepatitis B virus-related hepatocellular carcinoma: a two-stage longitudinal clinical study. J Clin Oncol 2013; 31(29): 3647 - 55.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2" w:name="P549"/>
      <w:bookmarkEnd w:id="32"/>
      <w:r>
        <w:t>38. Huang G., Lau W.Y., Wang Z.G. et al. Antiviral therapy improves postoperative survival in patients with hepatocellular carcinoma: a randomized controlled trial. Ann Surg 2015; 261(1): 56 - 66.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3" w:name="P550"/>
      <w:bookmarkEnd w:id="33"/>
      <w:r>
        <w:t>39. Lencioni R.A., Allgaier H.P., Cioni D. et al. Small hepatocellular carcinoma in cirrhosis: randomized comparison of radio-frequency thermal ablation versus percutaneous ethanol injection. Radiology 2003; 228: 235 - 40.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40. Lin S.M., Lin C.J., Lin C.C. et al. Randomised controlled trial comparing percutaneous radiofrequency thermal ablation, percutaneous ethanol injection, and percutaneous acetic acid injection to treat hepatocellular carcinoma of 3 cm or less. Gut 2005; 54: 1151 - 6.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4" w:name="P552"/>
      <w:bookmarkEnd w:id="34"/>
      <w:r>
        <w:t>41. Cho Y.K., Kim J.K., Kim M.Y. et al. Systematic review of randomized trials for hepatocellular carcinoma treated with percutaneous ablation therapies. Hepatology 2009; 49: 453 - 9.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5" w:name="P553"/>
      <w:bookmarkEnd w:id="35"/>
      <w:r>
        <w:t>42. Bruix J., Takayama T., Mazzaferro V. et al. Adjuvant sorafenib for hepatocellular carcinoma after resection or ablation (STORM): a phase 3, randomised, double-blind, placebo-controlled trial. Lancet Oncol 2015; 16: 1344 - 54.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6" w:name="P554"/>
      <w:bookmarkEnd w:id="36"/>
      <w:r>
        <w:t>43. Robbins J.R., Schmid R.K., Hammad A.Y. et al. Stereotactic body radiation therapy for hepatocellular carcinoma: Practice patterns, dose selection and factors impacting survival. Cancer Med 2019; 8(3): 928 - 38.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7" w:name="P555"/>
      <w:bookmarkEnd w:id="37"/>
      <w:r>
        <w:t>44. Rand T., Loewe C., Schoder M. et al. Arterial embolization of unresectable hepatocellular carcinoma with use of microspheres, lipiodol, and cyanoacrylate. Cardiovasc Intervent Radiol 2005; 28: 313 - 8.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45. Bonomo G., Pedicini V., Monfardini L. et al. Bland embolization in patients with unresectable hepatocellular carcinoma using precise, tightly size-calibrated, anti-inflammatory microparticles: first clinical experience and one-year follow-up. Cardiovasc Intervent Radiol 2010; 33: 552 - 9.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46. Llovet J.M., Real M.I., Montana X. et al. Arterial embolisation or chemoembolisation versus symptomatic treatment in patients with unresectable hepatocellular carcinoma: a randomised controlled trial. Lancet 2002; 359: 1734 - 9.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8" w:name="P558"/>
      <w:bookmarkEnd w:id="38"/>
      <w:r>
        <w:t>47. Affonso B.B., Galastri F.L., da Motta Leal Filho JM et al., Long-term outcomes of hepatocellular carcinoma that underwent chemoembolization for bridging or downstaging World J Gastroenterol. 2019 Oct 7; 25(37): 5687 - 5701.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39" w:name="P559"/>
      <w:bookmarkEnd w:id="39"/>
      <w:r>
        <w:t>48. Raoul J.L., Sangro B., Forner A., et al. Evolving strategies for the management of intermediate-stage hepatocellular carcinoma: available evidence and expert opinion on the use of transarterial chemoembolization. Cancer Treat Rev 2011; 37: 212 - 220.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0" w:name="P560"/>
      <w:bookmarkEnd w:id="40"/>
      <w:r>
        <w:t xml:space="preserve">49. Forner A., Gilabert M., Bruix J., Raoul J.L. Treatment of intermediate-stage hepatocellular </w:t>
      </w:r>
      <w:r>
        <w:lastRenderedPageBreak/>
        <w:t>carcinoma. Nat Rev Clin Oncol 2014; 11: 525 - 535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1" w:name="P561"/>
      <w:bookmarkEnd w:id="41"/>
      <w:r>
        <w:t>50. Lencioni R., Llovet J.M. Modified RECIST (mRECIST) assessment for hepatocellular carcinoma. Semin Liver Dis. 2010 Feb; 30(1): 52 - 60.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2" w:name="P562"/>
      <w:bookmarkEnd w:id="42"/>
      <w:r>
        <w:t>51. Cerrito L., Annicchiarico B.E., Iezzi R. et al. Treatment of hepatocellular carcinoma in patients with portal vein tumor thrombosis: Beyond the known frontiers, World J Gastroenterol. 2019 Aug 21; 25(31): 4360 - 4382.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3" w:name="P563"/>
      <w:bookmarkEnd w:id="43"/>
      <w:r>
        <w:t>52. Chino F., Stephens S.J., Choi S.S., et al. The role of external beam radiotherapy in the treatment of hepatocellular cancer. Cancer. 2018 Sep 1; 124(17): 3476 - 3489.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4" w:name="P564"/>
      <w:bookmarkEnd w:id="44"/>
      <w:r>
        <w:t>53. Llovet J.M., Ricci S., Mazzaferro V. et al. Sorafenib in advanced hepatocellular carcinoma. N Engl J Med 2008; 359: 378 - 90.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54. Cheng A.L., Kang Y.K., Chen Z. et al. Efficacy and safety of sorafenib in patients in the Asia-Pacific region with advanced hepatocellular carcinoma: a phase III randomised, double-blind, placebo-controlled trial. Lancet Oncol 2009; 10: 25 - 34.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55. Bruix J., Raoul J.-L., Sherman M. et al. Efficacy and safety of sorafenib in patients with advanced hepatocellular carcinoma: subanalyses of a phase III trial. J Hepatol 2012; 57: 821 - 9.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5" w:name="P567"/>
      <w:bookmarkEnd w:id="45"/>
      <w:r>
        <w:t>56. Kudo M., Finn R.S., Qin S. et al. Lenvatinib vs sorafenib in first-line treatment of patients with unresectable hepatocellular carcinoma: a randomised phase 3 trial. Lancet 2018; 391: 1163 - 73.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6" w:name="P568"/>
      <w:bookmarkEnd w:id="46"/>
      <w:r>
        <w:t>57. Bruix J., Qin S., Merle P. et al. Regorafenib for patients with hepatocellular carcinoma who progressed on sorafenib treatment (RESORCE): a randomised, double-blind, placebo-controlled, phase 3 trial. Lancet 2017; 389(10064): 56 - 66.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7" w:name="P569"/>
      <w:bookmarkEnd w:id="47"/>
      <w:r>
        <w:t>58. Abou-Alfa G.K., Meyer T., Cheng A-L., M.D., et al. Cabozantinib in Patients with Advanced and Progressing Hepatocellular Carcinoma. N Engl J Med 2018; 379: 54 - 63.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8" w:name="P570"/>
      <w:bookmarkEnd w:id="48"/>
      <w:r>
        <w:t>59. El-Khoueiry A.B., Sangro B., Yau T. et al. Nivolumab in patients with advanced hepatocellular carcinoma (CheckMate 040): an open-label, non-comparative, phase 1/2 dose escalation and expansion trial. Lancet 2017; 389(10088): 2492 - 502.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49" w:name="P571"/>
      <w:bookmarkEnd w:id="49"/>
      <w:r>
        <w:t>60. Finn R.S., Ryoo B.-Y., Merle P. et al. Results of KEYNOTE-240: phase 3 study of pembrolizumab (Pembro) vs best supportive care (BSC) for second line therapy in advanced hepatocellular carcinoma (HCC). J Clin Oncol 2019; 37(15 Suppl): 4004.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0" w:name="P572"/>
      <w:bookmarkEnd w:id="50"/>
      <w:r>
        <w:t>61. Qin S., Bai Y., Lim H.Y. et al. Randomized, multicenter, open-label study of oxaliplatin plus fluorouracil/leucovorin versus doxorubicin as palliative chemotherapy in patients with advanced hepatocellular carcinoma from Asia. J Clin Oncol 2013; 31: 3501 - 8.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1" w:name="P573"/>
      <w:bookmarkEnd w:id="51"/>
      <w:r>
        <w:t>62. Zaanan A.; Williet N.; Hebbar M.; et al. Gemcitabine plus oxaliplatin in advanced hepatocellular carcinoma: a large multicenter AGEO study. J Hepatol. 2013; 58(1): 81 - 8.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2" w:name="P574"/>
      <w:bookmarkEnd w:id="52"/>
      <w:r>
        <w:t>63. Tovoli F., Renzulli M., Granito A., Golfieri R &amp; Bolondi L. Radiologic criteria of response to systemic treatments for hepatocellular carcinoma. Hepat. Oncol. (2017) 4(4), 129 - 137.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3" w:name="P575"/>
      <w:bookmarkEnd w:id="53"/>
      <w:r>
        <w:t>64. Paolo A., Bernardi M., Villanueva C., et al. EASL Clinical Practice Guidelines for the management of patients with decompensated cirrhosis J of Hepatology, Vol 69, Issue 2, 406 - 460.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4" w:name="P576"/>
      <w:bookmarkEnd w:id="54"/>
      <w:r>
        <w:t>65. Luther A., Gabriel J., Watson R.P., Francis N.K. The impact of total body prehabilitation on post-operative outcomes after major abdominal surgery: a systematic review. World J Surg 2018; 42(9): 2781 - 91.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5" w:name="P577"/>
      <w:bookmarkEnd w:id="55"/>
      <w:r>
        <w:lastRenderedPageBreak/>
        <w:t>66. Arends J., Bachmann P., Baracos V. et al. ESPEN guidelines on nutrition in cancer patients. Clin Nutr 2017; 36: 11 - 48.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6" w:name="P578"/>
      <w:bookmarkEnd w:id="56"/>
      <w:r>
        <w:t>67. Souza Possa S., Braga Amador C. Meira Costa A. et al. Implementation of a guideline for physical therapy in the postoperative period of upper abdominal surgery reduces the incidence of atelectasis and length of hospital stay. Rev Port Pneumol 2014; 20(2): 69 - 77.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7" w:name="P579"/>
      <w:bookmarkEnd w:id="57"/>
      <w:r>
        <w:t>68. Lewis L.K., Williams M.T., Olds T.S. The active cycle of breathing technique: a systematic review and meta-analysis. Respir Med 2012; 106(2): 155 - 72.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8" w:name="P580"/>
      <w:bookmarkEnd w:id="58"/>
      <w:r>
        <w:t>69. Cho I., Son Y., Song S. et al. Feasibility and effects of a postoperative recovery exercise program developed specifically for gastric cancer patients (PREP-GC) undergoing minimally invasive gastrectomy. J Gastric Cancer 2018; 18(2): 118 - 33.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59" w:name="P581"/>
      <w:bookmarkEnd w:id="59"/>
      <w:r>
        <w:t>70. Hunter E.G., Baltisberger J. Functional outcomes by age for inpatient cancer rehabilitation: a retrospective chart review. J Appl Gerontol 2013; 32(4): 443 - 56.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0" w:name="P582"/>
      <w:bookmarkEnd w:id="60"/>
      <w:r>
        <w:t>71. Грушина Т.И. Реабилитация в онкологии: физиотерапия. М.: ГЭОТАР - Медиа, 2006. 240 с.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1" w:name="P583"/>
      <w:bookmarkEnd w:id="61"/>
      <w:r>
        <w:t>72. Ajani J.A., D'Amico T.A., Almhanna K. et al. Gastric Cancer, Version 3.2016, NCCN clinical practice guidelines in oncology. J Natl Compr Canc Netw 2016; 14(10): 1286 - 312.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2" w:name="P584"/>
      <w:bookmarkEnd w:id="62"/>
      <w:r>
        <w:t>73. Bland K.A., Zadravec K., Landry T. et al. Impact of exercise on chemotherapy completion rate: A systematic review of the evidence and recommendations for future exercise oncology research. Crit Rev Oncol Hematol 2019; 136: 79 - 85.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3" w:name="P585"/>
      <w:bookmarkEnd w:id="63"/>
      <w:r>
        <w:t>74. Streckmann F., Zopf E.M., Lehmann H.C. et al. Exercise intervention studies in patients with peripheral neuropathy: a systematic review. Sports Med 2014; 44: 1289 - 304.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75. Westphal J.G., Schulze P.C. Exercise training in cancer related cardiomyopathy. J Thorac Dis 2018; 10(Suppl 35): S4391 - 9.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76. Lee J.M., Look R.M., Turner C. et al. Low-level laser therapy for chemotherapy-induced peripheral neuropathy. J Clin Oncol 2012; 30(15 Suppl): 9019.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4" w:name="P588"/>
      <w:bookmarkEnd w:id="64"/>
      <w:r>
        <w:t>77. Rick O., von Hehn U., Mikus E. et al. Magnetic field therapy in patients with cytostatics-induced polyneuropathy: A prospective randomized placebo-controlled phase-III study. Bioelectromagnetics 2016; 38(2): 85 - 94.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5" w:name="P589"/>
      <w:bookmarkEnd w:id="65"/>
      <w:r>
        <w:t>78. Kumar A., Ahuja C.K., Vyas S., et al. Hepatic arteriovenous fistulae: role of interventional radiology. Dig Dis Sci 2012; 57: 2703 - 12.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6" w:name="P590"/>
      <w:bookmarkEnd w:id="66"/>
      <w:r>
        <w:t>79. Wu H., Zhao W., Zhang J., Han J., Liu S. Clinical characteristics of hepatic arterioportal shunts associated with hepatocellular carcinoma. BMC Gastroenterol. 2018 Nov 12; 18(1): 174. doi: 10.1186/s12876-018-0899-3.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7" w:name="P591"/>
      <w:bookmarkEnd w:id="67"/>
      <w:r>
        <w:t>80. Kim, J. H., Sinn, D. H., Kim, K., et al. Primary Prophylaxis for Variceal Bleeding and the Improved Survival of Patients with Newly Diagnosed Hepatocellular Carcinoma. Digestive Diseases and Sciences, (2016). 61(11), 3354 - 3362. doi: 10.1007/s10620-016-4255-6.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8" w:name="P592"/>
      <w:bookmarkEnd w:id="68"/>
      <w:r>
        <w:t>81. Finkelmeier F., Waidmann O. &amp; Trojan J.: Nivolumab for the treatment of hepatocellular carcinoma, Expert Review of Anticancer Therapy 2018, DOI: 10.1080/14737140.2018.1535315.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69" w:name="P593"/>
      <w:bookmarkEnd w:id="69"/>
      <w:r>
        <w:t>82. Zhao X., Ivaturi V., Gopalakrishnan M., et al. A model-based exposure-response (ER) assessment of a nivolumab (NIVO) 4-weekly (Q4W) dosing schedule across multiple tumor types. Cancer Res. 2017 Jul; 77 Suppl: 13.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70" w:name="P594"/>
      <w:bookmarkEnd w:id="70"/>
      <w:r>
        <w:lastRenderedPageBreak/>
        <w:t>83. Yang T.S., Lin Y.C., Chen J.S., et al. Phase II study of gemcitabine in patients with advanced hepatocellular carcinoma. Cancer 2000; 89: 750 - 6.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71" w:name="P595"/>
      <w:bookmarkEnd w:id="71"/>
      <w:r>
        <w:t>84. Zaanan A., Williet N., Hebbar M., Dabakuyo T.S., et al. Gemcitabine plus oxaliplatin in advanced hepatocellular carcinoma: a large multicenter AGEO study. J Hepatol. 2013 Jan; 58(1): 81 - 8. doi: 10.1016/j.jhep.2012.09.006.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72" w:name="P596"/>
      <w:bookmarkEnd w:id="72"/>
      <w:r>
        <w:t>85. Chakrabarti, Kommalapati A., Tella S.H., et al. Clinicopathological features and outcomes of fibrolamellar hepatocellular carcinoma. J Clin Oncol 2019 37: 4_suppl, 393 - 393.</w:t>
      </w:r>
    </w:p>
    <w:p w:rsidR="00261B8C" w:rsidRDefault="00261B8C">
      <w:pPr>
        <w:pStyle w:val="ConsPlusNormal"/>
        <w:spacing w:before="220"/>
        <w:ind w:firstLine="540"/>
        <w:jc w:val="both"/>
      </w:pPr>
      <w:bookmarkStart w:id="73" w:name="P597"/>
      <w:bookmarkEnd w:id="73"/>
      <w:r>
        <w:t>86. Chieh Kow, A. Transplantation versus liver resection in patients with hepatocellular carcinoma. Translational Gastroenterology and Hepatology, 2019, vol 4, number 0. doi: 10.21037/tgh.2019.05.06.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0"/>
      </w:pPr>
      <w:r>
        <w:t>Приложение А1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r>
        <w:t>СОСТАВ РАБОЧЕЙ ГРУППЫ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1. Алиева С.Б., д.м.н., ведущий научный сотрудник радиологического отделения НИИ клинической и экспериментальной радиологии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Бредер В.В., д.м.н., ведущий научный сотрудник отделения химиотерапии N 17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Базин И.С., д.м.н., старший научный сотрудник отделения клинической фармакологии и химиотерапии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4. Виршке Э.Р., д.м.н., заведующий лабораторией интервенционной радиологии НИИ клинической и экспериментальной радиологии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5. Долгушин Б.И., чл.-корр. РАН, д.м.н., директор НИИ клинической и экспериментальной радиологии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6. Косырев В.Ю., д.м.н., ведущий научный сотрудник лаборатории интервенционной радиологии НИИ клинической и экспериментальной радиологии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7. Лукъянченко А.Б., д.м.н., профессор, ведущий научный сотрудник рентгенодиагностического отделения НИИ клинической и экспериментальной радиологии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8. Медведева Б.М., д.м.н., ведущий научный сотрудник рентгенодиагностического отделения НИИ клинической и экспериментальной радиологии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9. Мороз Е.А., к.м.н., старший научный сотрудник отдела патологической анатомии опухолей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10. Кудашкин Н.Е., к.м.н., научный сотрудник отделения опухолей печени и поджелудочной железы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11. Новрузбеков М.С., д.м.н., заведующий научным отделом трансплантации печени ГБУЗ "НИИ скорой помощи им. Н.В. Склифосовского ДЗМ".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12. Патютко Ю.И., д.м.н., профессор, ведущий научный сотрудник отделения опухолей печени и поджелудочной железы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13. Подлужный Д.В., к.м.н., заведующий отделением опухолей печени и поджелудочной железы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14. Сагайдак И.В., д.м.н., профессор, ведущий научный сотрудник отделения опухолей печени и поджелудочной железы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15. Балахнин П.В., к.м.н., ГБУЗ "Санкт-Петербургский клинический научно-практический центр специализированных видов медицинской помощи (онкологический)".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16. Ледин Е.В., к.м.н., клиническая больница N 2 АО "Группа компаний МЕДСИ".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17. Петкау В.В., к.м.н., ГАУЗ СО "Свердловский областной онкологический диспансер", г. Екатеринбург.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18. Сидоров Д.В., заведующий Абдоминального хирургического отделения Хирургического отдела МНИОИ им. П.А. Герцена - филиал ФГБУ "НМИЦ радиологии"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19. Петров Л.О., заведующий отделения лучевого и хирургического лечения заболеваний абдоминальной области МРНЦ им. А.Ф. Цыба - филиал ФГБУ "НМИЦ радиологии"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20. Феденко А.А., заведующий Отдела лекарственного лечения опухолей МНИОИ им. П.А. Герцена - филиал ФГБУ "НМИЦ радиологии"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21. Болотина Л.В. заведующий Отделения химиотерапии Отдела лекарственного лечения опухолей МНИОИ им. П.А. Герцена - филиал ФГБУ "НМИЦ радиологии"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22. Фалалеева Н.А., заведующий отделом лекарственного лечения злокачественных новообразований МРНЦ им. А.Ф. Цыба - филиал ФГБУ "НМИЦ радиологии" Минздрава России.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Блок по реабилитации: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Кончугова Т.В., д.м.н., профессор, врач-физиотерапевт, заведующая отделом преформированных физических факторов ФГБУ "НМИЦ реабилитации и курортологии"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Еремушкин М.А., д.м.н., профессор, заведующий отделением ЛФК и клинической биомеханики ФГБУ "НМИЦ реабилитации и курортологии"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Гильмутдинова И.Р., к.м.н., врач-трансфузиолог, дерматовенеролог, специалист в области клеточных технологий, заведующая отделом биомедицинских технологий и лабораторией клеточных технологий ФГБУ "НМИЦ реабилитации и курортологии"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4. Буланов А.А., д.м.н., старший научный сотрудник отделения клинической фармакологии и химиотерапии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5. Бутенко А.В., д.м.н., профессор, главный врач НИИ клинической онкологии ФГБУ "НМИЦ онкологии им. Н.Н. Блохина" Минздрава России, председатель Ассоциации специалистов по онкологической реабилитации.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6. Назаренко А.В., к.м.н., заведующий отделением радиологии ФГБУ "НМИЦ онкологии им. </w:t>
      </w:r>
      <w:r>
        <w:lastRenderedPageBreak/>
        <w:t>Н.Н. Блохина" Минздрава России, член Российской ассоциации терапевтических радиационных онкологов, European Society for Radiotherapy &amp; Oncology, Российско-Американского альянса по изучению рака, представитель Российской Федерации в МАГАТЭ, врач высшей квалификационной категории.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7. Обухова О.А., к.м.н., врач-физиотерапевт, заведующий отделением медицинской реабилитации ФГБУ "НМИЦ онкологии им. Н.Н. Блохина" Минздрава России, член Европейской ассоциации парентерального и энтерального питания (ESPEN), член Российской ассоциации парентерального и энтерального питания.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8. Хуламханова М.М., врач-физиотерапевт, врач-онколог отделения медицинской реабилитации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9. Ковлен Д.В., д.м.н., доцент кафедры курортологии и физиотерапии ФГБВОУ ВО "Военно-медицинская академия им. С.М. Кирова" Минобороны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10. Крутов А.А., врач-онколог клинико-диагностического отделения ФГБУ "НМИЦ онкологии им. Н.Н. Петрова"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11. Зернова М.А., инструктор-методист по лечебной физкультуре ФГБУ "НМИЦ онкологии им. Н.Н. Петрова"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12. Иванова Г.Е., д.м.н., главный специалист по медицинской реабилитации Минздрава России, заведующая отделом медико-социальной реабилитации инсульта НИИ ЦВПиИ ФГБОУ ВО РНИМУ им. Н.И. Пирогова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13. Романов А.И., академик РАН, д.м.н., профессор, главный врач ФГБУ "Центр реабилитации" Управления делами Президента Российской Федерации.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14. Филоненко Е.В., д.м.н., профессор, заведующий центром лазерной и фотодинамической диагностики и терапии опухолей МНИОИ им. П.А. Герцена - филиала ФГБУ "НМИЦ радиологии" Минздрава России, врач-онколог.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Блок по организации медицинской помощи: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Невольских А.А., д.м.н., заместитель директора по лечебной МРНЦ им. А.Ф. Цыба - филиала ФГБУ "НМИЦ радиологии"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Иванов С.А., профессор РАН, д.м.н., директор МРНЦ им. А.Ф. Цыба - филиала ФГБУ "НМИЦ радиологии"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Хайлова Ж.В., к.м.н., заместитель директора по организационно-методической работе МРНЦ им. А.Ф. Цыба - филиала ФГБУ "НМИЦ радиологии"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4. Геворкян Т.Г., заместитель директора НИИ КЭР ФГБУ "НМИЦ онкологии им. Н.Н. Блохина" Минздрава России.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Конфликта интересов нет.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0"/>
      </w:pPr>
      <w:r>
        <w:t>Приложение А2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r>
        <w:t>МЕТОДОЛОГИЯ РАЗРАБОТКИ КЛИНИЧЕСКИХ РЕКОМЕНДАЦИЙ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Целевая аудитория данных клинических рекомендаций: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1. врачи-онкологи;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врачи-хирурги;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врачи-радиологи;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4. врачи по рентгенэндоваскулярным диагностике и лечению;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5. студенты медицинских вузов, ординаторы и аспиранты.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Методы, использованные для сбора/селекции доказательств: поиск в электронных базах данных; анализ современных научных разработок по проблеме ГЦР в РФ и за рубежом; обобщение практического опыта российских и зарубежных специалистов.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Шкала оценки уровней достоверности доказательств для методов диагностики (диагностических вмешательств)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44"/>
        <w:gridCol w:w="7427"/>
      </w:tblGrid>
      <w:tr w:rsidR="00261B8C">
        <w:tc>
          <w:tcPr>
            <w:tcW w:w="1644" w:type="dxa"/>
          </w:tcPr>
          <w:p w:rsidR="00261B8C" w:rsidRDefault="00261B8C">
            <w:pPr>
              <w:pStyle w:val="ConsPlusNormal"/>
              <w:jc w:val="center"/>
            </w:pPr>
            <w:r>
              <w:t>Уровень достоверности доказательств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1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2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метаанализа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3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Исследования без последовательного контроля референсным методом, или исследования с контролем референсным методом, не являющимся независимым от исследуемого метода, или нерандомизированные сравнительные исследования, в том числе когортные исследования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4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Несравнительные исследования, описание клинического случая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5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Имеется лишь обоснование механизма действия или мнение экспертов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Шкала оценки уровней достоверности доказательств для методов профилактики, лечения и реабилитации (профилактических, лечебных, реабилитационных вмешательств)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44"/>
        <w:gridCol w:w="7427"/>
      </w:tblGrid>
      <w:tr w:rsidR="00261B8C">
        <w:tc>
          <w:tcPr>
            <w:tcW w:w="1644" w:type="dxa"/>
          </w:tcPr>
          <w:p w:rsidR="00261B8C" w:rsidRDefault="00261B8C">
            <w:pPr>
              <w:pStyle w:val="ConsPlusNormal"/>
              <w:jc w:val="center"/>
            </w:pPr>
            <w:r>
              <w:t>Уровень достоверности доказательств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1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Систематический обзор рандомизированных контролируемых исследований с применением метаанализа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2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 xml:space="preserve">Отдельные рандомизированные контролируемые исследования и систематические обзоры исследований любого дизайна, за исключением </w:t>
            </w:r>
            <w:r>
              <w:lastRenderedPageBreak/>
              <w:t>рандомизированных контролируемых исследований, с применением метаанализа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Нерандомизированные сравнительные исследования, в том числе когортные исследования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4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Несравнительные исследования, описание клинического случая или серии случаев, исследования "случай-контроль"</w:t>
            </w:r>
          </w:p>
        </w:tc>
      </w:tr>
      <w:tr w:rsidR="00261B8C">
        <w:tc>
          <w:tcPr>
            <w:tcW w:w="1644" w:type="dxa"/>
          </w:tcPr>
          <w:p w:rsidR="00261B8C" w:rsidRDefault="00261B8C">
            <w:pPr>
              <w:pStyle w:val="ConsPlusNormal"/>
            </w:pPr>
            <w:r>
              <w:t>5</w:t>
            </w:r>
          </w:p>
        </w:tc>
        <w:tc>
          <w:tcPr>
            <w:tcW w:w="7427" w:type="dxa"/>
          </w:tcPr>
          <w:p w:rsidR="00261B8C" w:rsidRDefault="00261B8C">
            <w:pPr>
              <w:pStyle w:val="ConsPlusNormal"/>
            </w:pPr>
            <w: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Шкала оценки уровней убедительности рекомендаций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57"/>
        <w:gridCol w:w="7313"/>
      </w:tblGrid>
      <w:tr w:rsidR="00261B8C">
        <w:tc>
          <w:tcPr>
            <w:tcW w:w="1757" w:type="dxa"/>
          </w:tcPr>
          <w:p w:rsidR="00261B8C" w:rsidRDefault="00261B8C">
            <w:pPr>
              <w:pStyle w:val="ConsPlusNormal"/>
              <w:jc w:val="center"/>
            </w:pPr>
            <w:r>
              <w:t>Уровень убедительности рекомендаций</w:t>
            </w:r>
          </w:p>
        </w:tc>
        <w:tc>
          <w:tcPr>
            <w:tcW w:w="7313" w:type="dxa"/>
          </w:tcPr>
          <w:p w:rsidR="00261B8C" w:rsidRDefault="00261B8C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261B8C">
        <w:tc>
          <w:tcPr>
            <w:tcW w:w="1757" w:type="dxa"/>
          </w:tcPr>
          <w:p w:rsidR="00261B8C" w:rsidRDefault="00261B8C">
            <w:pPr>
              <w:pStyle w:val="ConsPlusNormal"/>
            </w:pPr>
            <w:r>
              <w:t>A</w:t>
            </w:r>
          </w:p>
        </w:tc>
        <w:tc>
          <w:tcPr>
            <w:tcW w:w="7313" w:type="dxa"/>
          </w:tcPr>
          <w:p w:rsidR="00261B8C" w:rsidRDefault="00261B8C">
            <w:pPr>
              <w:pStyle w:val="ConsPlusNormal"/>
            </w:pPr>
            <w: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261B8C">
        <w:tc>
          <w:tcPr>
            <w:tcW w:w="1757" w:type="dxa"/>
          </w:tcPr>
          <w:p w:rsidR="00261B8C" w:rsidRDefault="00261B8C">
            <w:pPr>
              <w:pStyle w:val="ConsPlusNormal"/>
            </w:pPr>
            <w:r>
              <w:t>B</w:t>
            </w:r>
          </w:p>
        </w:tc>
        <w:tc>
          <w:tcPr>
            <w:tcW w:w="7313" w:type="dxa"/>
          </w:tcPr>
          <w:p w:rsidR="00261B8C" w:rsidRDefault="00261B8C">
            <w:pPr>
              <w:pStyle w:val="ConsPlusNormal"/>
            </w:pPr>
            <w: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261B8C">
        <w:tc>
          <w:tcPr>
            <w:tcW w:w="1757" w:type="dxa"/>
          </w:tcPr>
          <w:p w:rsidR="00261B8C" w:rsidRDefault="00261B8C">
            <w:pPr>
              <w:pStyle w:val="ConsPlusNormal"/>
            </w:pPr>
            <w:r>
              <w:t>C</w:t>
            </w:r>
          </w:p>
        </w:tc>
        <w:tc>
          <w:tcPr>
            <w:tcW w:w="7313" w:type="dxa"/>
          </w:tcPr>
          <w:p w:rsidR="00261B8C" w:rsidRDefault="00261B8C">
            <w:pPr>
              <w:pStyle w:val="ConsPlusNormal"/>
            </w:pPr>
            <w: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Порядок обновления клинических рекомендаций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Механизм обновления клинических рекомендаций предусматривает их систематическую актуализацию - не реже чем 1 раз в 3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при наличии обоснованных дополнений/замечаний к ранее утвержденным клиническим рекомендациям, но не чаще 1 раза в 6 мес.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0"/>
      </w:pPr>
      <w:r>
        <w:t>Приложение А3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r>
        <w:t>СВЯЗАННЫЕ ДОКУМЕНТЫ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center"/>
      </w:pPr>
      <w:r>
        <w:rPr>
          <w:noProof/>
          <w:position w:val="-278"/>
        </w:rPr>
        <w:lastRenderedPageBreak/>
        <w:drawing>
          <wp:inline distT="0" distB="0" distL="0" distR="0">
            <wp:extent cx="5580380" cy="367855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bookmarkStart w:id="74" w:name="P723"/>
      <w:bookmarkEnd w:id="74"/>
      <w:r>
        <w:t xml:space="preserve">Рисунок А1. Барселонская система стадирования гепатоцеллюлярного рака </w:t>
      </w:r>
      <w:hyperlink w:anchor="P515">
        <w:r>
          <w:rPr>
            <w:color w:val="0000FF"/>
          </w:rPr>
          <w:t>[4]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ОВ - общая выживаемость; ОС - объективный статус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по шкале ECOG; ТАХЭ - трансартериальная химиоэмболизация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Актуальные инструкции к лекарственным препаратам, упоминаемым в данных клинических рекомендациях, можно найти на сайте http://grls.rosminzdrav.ru.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Таблица 1. Режимы лекарственного лечения гепатоцеллюлярного рака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71"/>
        <w:gridCol w:w="1984"/>
        <w:gridCol w:w="5216"/>
      </w:tblGrid>
      <w:tr w:rsidR="00261B8C">
        <w:tc>
          <w:tcPr>
            <w:tcW w:w="1871" w:type="dxa"/>
          </w:tcPr>
          <w:p w:rsidR="00261B8C" w:rsidRDefault="00261B8C">
            <w:pPr>
              <w:pStyle w:val="ConsPlusNormal"/>
              <w:jc w:val="center"/>
            </w:pPr>
            <w:r>
              <w:t>Вид терапии</w:t>
            </w:r>
          </w:p>
        </w:tc>
        <w:tc>
          <w:tcPr>
            <w:tcW w:w="1984" w:type="dxa"/>
          </w:tcPr>
          <w:p w:rsidR="00261B8C" w:rsidRDefault="00261B8C">
            <w:pPr>
              <w:pStyle w:val="ConsPlusNormal"/>
              <w:jc w:val="center"/>
            </w:pPr>
            <w:r>
              <w:t>Препарат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  <w:jc w:val="center"/>
            </w:pPr>
            <w:r>
              <w:t>Схема приема</w:t>
            </w:r>
          </w:p>
        </w:tc>
      </w:tr>
      <w:tr w:rsidR="00261B8C">
        <w:tc>
          <w:tcPr>
            <w:tcW w:w="1871" w:type="dxa"/>
            <w:vMerge w:val="restart"/>
            <w:vAlign w:val="center"/>
          </w:tcPr>
          <w:p w:rsidR="00261B8C" w:rsidRDefault="00261B8C">
            <w:pPr>
              <w:pStyle w:val="ConsPlusNormal"/>
            </w:pPr>
            <w:r>
              <w:t>Терапия ингибиторами протеаз</w:t>
            </w:r>
          </w:p>
        </w:tc>
        <w:tc>
          <w:tcPr>
            <w:tcW w:w="1984" w:type="dxa"/>
          </w:tcPr>
          <w:p w:rsidR="00261B8C" w:rsidRDefault="00261B8C">
            <w:pPr>
              <w:pStyle w:val="ConsPlusNormal"/>
            </w:pPr>
            <w:r>
              <w:t>Сорафениб**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по 400 мг 2 раза в день длительно </w:t>
            </w:r>
            <w:hyperlink w:anchor="P564">
              <w:r>
                <w:rPr>
                  <w:color w:val="0000FF"/>
                </w:rPr>
                <w:t>[53]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vMerge w:val="restart"/>
          </w:tcPr>
          <w:p w:rsidR="00261B8C" w:rsidRDefault="00261B8C">
            <w:pPr>
              <w:pStyle w:val="ConsPlusNormal"/>
            </w:pPr>
            <w:r>
              <w:t>Ленватиниб**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8 мг (если масса тела &lt; 60 кг) 1 раз в день длительно </w:t>
            </w:r>
            <w:hyperlink w:anchor="P567">
              <w:r>
                <w:rPr>
                  <w:color w:val="0000FF"/>
                </w:rPr>
                <w:t>[56]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12 мг (если масса тела &gt;= 60 кг) 1 раз в день длительно </w:t>
            </w:r>
            <w:hyperlink w:anchor="P567">
              <w:r>
                <w:rPr>
                  <w:color w:val="0000FF"/>
                </w:rPr>
                <w:t>[56]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vMerge w:val="restart"/>
          </w:tcPr>
          <w:p w:rsidR="00261B8C" w:rsidRDefault="00261B8C">
            <w:pPr>
              <w:pStyle w:val="ConsPlusNormal"/>
            </w:pPr>
            <w:r>
              <w:t>Регорафениб**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160 мг/сут. в 1 - 21-й дни каждые 4 нед. </w:t>
            </w:r>
            <w:hyperlink w:anchor="P568">
              <w:r>
                <w:rPr>
                  <w:color w:val="0000FF"/>
                </w:rPr>
                <w:t>[57]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>120 мг/сут. в 1 - 21-й дни каждые 4 нед.</w:t>
            </w:r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</w:tcPr>
          <w:p w:rsidR="00261B8C" w:rsidRDefault="00261B8C">
            <w:pPr>
              <w:pStyle w:val="ConsPlusNormal"/>
            </w:pPr>
            <w:r>
              <w:t>Кабозантиниб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60 мг 1 р/день длительно </w:t>
            </w:r>
            <w:hyperlink w:anchor="P569">
              <w:r>
                <w:rPr>
                  <w:color w:val="0000FF"/>
                </w:rPr>
                <w:t>[58]</w:t>
              </w:r>
            </w:hyperlink>
          </w:p>
        </w:tc>
      </w:tr>
      <w:tr w:rsidR="00261B8C">
        <w:tc>
          <w:tcPr>
            <w:tcW w:w="1871" w:type="dxa"/>
            <w:vMerge w:val="restart"/>
            <w:vAlign w:val="center"/>
          </w:tcPr>
          <w:p w:rsidR="00261B8C" w:rsidRDefault="00261B8C">
            <w:pPr>
              <w:pStyle w:val="ConsPlusNormal"/>
            </w:pPr>
            <w:r>
              <w:t>Антитела моноклональные</w:t>
            </w:r>
          </w:p>
        </w:tc>
        <w:tc>
          <w:tcPr>
            <w:tcW w:w="1984" w:type="dxa"/>
            <w:vMerge w:val="restart"/>
          </w:tcPr>
          <w:p w:rsidR="00261B8C" w:rsidRDefault="00261B8C">
            <w:pPr>
              <w:pStyle w:val="ConsPlusNormal"/>
            </w:pPr>
            <w:r>
              <w:t>#Ниволумаб**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3 мг/кг в/в 1 раз в 2 нед. длительно </w:t>
            </w:r>
            <w:hyperlink w:anchor="P570">
              <w:r>
                <w:rPr>
                  <w:color w:val="0000FF"/>
                </w:rPr>
                <w:t>[59]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240 мг в/в 1 раз в 2 нед. длительно </w:t>
            </w:r>
            <w:hyperlink w:anchor="P592">
              <w:r>
                <w:rPr>
                  <w:color w:val="0000FF"/>
                </w:rPr>
                <w:t>[81]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480 мг в/в 1 раз в 4 нед. длительно </w:t>
            </w:r>
            <w:hyperlink w:anchor="P593">
              <w:r>
                <w:rPr>
                  <w:color w:val="0000FF"/>
                </w:rPr>
                <w:t>[82]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</w:tcPr>
          <w:p w:rsidR="00261B8C" w:rsidRDefault="00261B8C">
            <w:pPr>
              <w:pStyle w:val="ConsPlusNormal"/>
            </w:pPr>
            <w:r>
              <w:t>#Пембролизумаб**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 xml:space="preserve">200 мг в/в 1 раз в 3 нед. длительно </w:t>
            </w:r>
            <w:hyperlink w:anchor="P571">
              <w:r>
                <w:rPr>
                  <w:color w:val="0000FF"/>
                </w:rPr>
                <w:t>[60]</w:t>
              </w:r>
            </w:hyperlink>
          </w:p>
        </w:tc>
      </w:tr>
      <w:tr w:rsidR="00261B8C">
        <w:tc>
          <w:tcPr>
            <w:tcW w:w="1871" w:type="dxa"/>
            <w:vMerge w:val="restart"/>
            <w:vAlign w:val="center"/>
          </w:tcPr>
          <w:p w:rsidR="00261B8C" w:rsidRDefault="00261B8C">
            <w:pPr>
              <w:pStyle w:val="ConsPlusNormal"/>
            </w:pPr>
            <w:r>
              <w:t>Полихимиотерапия</w:t>
            </w:r>
          </w:p>
        </w:tc>
        <w:tc>
          <w:tcPr>
            <w:tcW w:w="1984" w:type="dxa"/>
            <w:tcBorders>
              <w:bottom w:val="nil"/>
            </w:tcBorders>
          </w:tcPr>
          <w:p w:rsidR="00261B8C" w:rsidRDefault="00261B8C">
            <w:pPr>
              <w:pStyle w:val="ConsPlusNormal"/>
            </w:pPr>
            <w:r>
              <w:t>#Гемцитабин**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>1000 мг/м</w:t>
            </w:r>
            <w:r>
              <w:rPr>
                <w:vertAlign w:val="superscript"/>
              </w:rPr>
              <w:t>2</w:t>
            </w:r>
            <w:r>
              <w:t xml:space="preserve"> в 1-й и 8-й дни</w:t>
            </w:r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#Цисплатин**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>25 - 30 мг/м</w:t>
            </w:r>
            <w:r>
              <w:rPr>
                <w:vertAlign w:val="superscript"/>
              </w:rPr>
              <w:t>2</w:t>
            </w:r>
            <w:r>
              <w:t xml:space="preserve"> в 1-й и 8-й дни каждые 3 нед. </w:t>
            </w:r>
            <w:hyperlink w:anchor="P594">
              <w:r>
                <w:rPr>
                  <w:color w:val="0000FF"/>
                </w:rPr>
                <w:t>[83]</w:t>
              </w:r>
            </w:hyperlink>
          </w:p>
        </w:tc>
      </w:tr>
      <w:tr w:rsidR="00261B8C"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261B8C" w:rsidRDefault="00261B8C">
            <w:pPr>
              <w:pStyle w:val="ConsPlusNormal"/>
            </w:pPr>
            <w:r>
              <w:t>#Гемцитабин**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>1000 мг/м</w:t>
            </w:r>
            <w:r>
              <w:rPr>
                <w:vertAlign w:val="superscript"/>
              </w:rPr>
              <w:t>2</w:t>
            </w:r>
            <w:r>
              <w:t xml:space="preserve"> 1-й и 15-й дни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1871" w:type="dxa"/>
            <w:vMerge/>
          </w:tcPr>
          <w:p w:rsidR="00261B8C" w:rsidRDefault="00261B8C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#Оксалиплатин**</w:t>
            </w:r>
          </w:p>
        </w:tc>
        <w:tc>
          <w:tcPr>
            <w:tcW w:w="5216" w:type="dxa"/>
          </w:tcPr>
          <w:p w:rsidR="00261B8C" w:rsidRDefault="00261B8C">
            <w:pPr>
              <w:pStyle w:val="ConsPlusNormal"/>
            </w:pPr>
            <w:r>
              <w:t>85 мг/м</w:t>
            </w:r>
            <w:r>
              <w:rPr>
                <w:vertAlign w:val="superscript"/>
              </w:rPr>
              <w:t>2</w:t>
            </w:r>
            <w:r>
              <w:t xml:space="preserve"> 1-й и 15-й дни каждые 4 нед. </w:t>
            </w:r>
            <w:hyperlink w:anchor="P595">
              <w:r>
                <w:rPr>
                  <w:color w:val="0000FF"/>
                </w:rPr>
                <w:t>[84]</w:t>
              </w:r>
            </w:hyperlink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0"/>
      </w:pPr>
      <w:r>
        <w:t>Приложение Б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r>
        <w:t>АЛГОРИТМЫ ВЕДЕНИЯ ПАЦИЕНТА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center"/>
      </w:pPr>
      <w:r>
        <w:rPr>
          <w:noProof/>
          <w:position w:val="-450"/>
        </w:rPr>
        <w:drawing>
          <wp:inline distT="0" distB="0" distL="0" distR="0">
            <wp:extent cx="5520690" cy="586422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586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Рис. Б1. Диагностический алгоритм при выявлении узловых образований в цирротической печени у пациентов группы риска развития гепатоцеллюлярного рака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Алгоритм ведения пациента с подозрением на печеночноклеточный рак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center"/>
      </w:pPr>
      <w:r>
        <w:rPr>
          <w:noProof/>
          <w:position w:val="-288"/>
        </w:rPr>
        <w:drawing>
          <wp:inline distT="0" distB="0" distL="0" distR="0">
            <wp:extent cx="5510530" cy="380809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530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Алгоритм ведения пациента с подозрением на печеночноклеточный рак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center"/>
      </w:pPr>
      <w:r>
        <w:rPr>
          <w:noProof/>
          <w:position w:val="-382"/>
        </w:rPr>
        <w:lastRenderedPageBreak/>
        <w:drawing>
          <wp:inline distT="0" distB="0" distL="0" distR="0">
            <wp:extent cx="5553710" cy="499681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49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0"/>
      </w:pPr>
      <w:r>
        <w:t>Приложение В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r>
        <w:t>ИНФОРМАЦИЯ ДЛЯ ПАЦИЕНТОВ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Рекомендации по первичной профилактике гепатоцеллюлярного рака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Главным фактором риска развития рака печени является хроническое воспаление печени вследствие воздействия различных повреждающих факторов: хронических вирусных гепатитов B и C, употребления алкоголя и других токсических веществ, нарушения углеводного и жирового обмена и цирроза различной этиологии. Сочетание нескольких факторов риска увеличивает вероятность развития первичного рака печени. Вакцинация от вирусного гепатита B - важнейшее профилактическое мероприятие. Эффективная противовирусная терапия хронического гепатита C достоверно уменьшает вероятность развития рака печени.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Рекомендации при осложнениях химиотерапии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При осложнениях химиотерапии необходимо связаться с врачом-онкологом (химиотерапевтом).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1. При повышении температуры тела до +38 °C и выше - начать прием антибиотиков в </w:t>
      </w:r>
      <w:r>
        <w:lastRenderedPageBreak/>
        <w:t>соответствии с назначением врача-онколога.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2. При стоматите: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механически, термически щадящая диета;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частое (каждый час) полоскание рта отварами ромашки, шалфея, коры дуба, смазывание рта облепиховым (персиковым) маслом;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обработка полости рта по рекомендации врача-онколога.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3. При диарее: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исключить жирное, острое, копченое, сладкое, молочное, клетчатку. Можно нежирное мясо, мучное, кисломолочное, рисовый отвар. Обильное питье;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принимать лекарственные препараты в соответствии с назначением врача-онколога.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4. При тошноте принимать лекарственные препараты в соответствии с назначением врача-онколога.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5. При развитии специфических для непрерывной таргетной терапии побочных эффектов - артериальной гипертензии, появлении трещин на коже рук и ног, многократной диарее, выраженной слабости - следует прекратить прием препарата и незамедлительно связаться с лечащим врачом.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ind w:firstLine="540"/>
        <w:jc w:val="both"/>
        <w:outlineLvl w:val="1"/>
      </w:pPr>
      <w:r>
        <w:t>Информация для пациента, получающего терапию моноклональными антителами - блокаторами CTLA4 и/или PD1/PD-L1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Своевременное взаимодействие с вашим лечащим врачом и медицинской сестрой по поводу состояния вашего здоровья - важная составляющая вашей помощи медицинской команде в осуществлении настолько полной защиты вас в процессе лечения, насколько это возможно.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Очень важно, чтобы любые симптомы (побочные явления), связанные с лечением блокаторами CTLA4 и/или PD1, были выявлены и устранены при первом их появлении, это поможет предотвратить их переход в более тяжелые формы.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Блокаторы CTLA4 и/или МКА-блокаторы PD1/PD-L1 разработаны, чтобы помочь иммунной системе вашего организма бороться с опухолевым процессом. Наиболее частые побочные эффекты, с которыми вы можете столкнуться в процессе лечения, являются результатом высокой активности иммунной системы. Такие побочные эффекты называются связанными с иммунной системой и отличаются от побочных эффектов, которые вы можете наблюдать при других видах лечения злокачественных опухолей.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Побочные явления, которые могут появиться у вас, обычно возникают в первые 12 нед. лечения, но могут появиться и позже.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Очень важно, чтобы вы информировали вашего лечащего врача о любых симптомах, которые появились у вас во время лечения блокаторами CTLA4 и/или PD1/PD-L1. Распознавание побочных эффектов на ранних стадиях дает возможность вашему лечащему врачу сразу же начать соответствующую терапию и предотвратить переход побочных явлений в более тяжелые формы.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Если после лечения блокаторами CTLA4 и/или МКА-блокаторами PD1/PD-L1 у вас возникли какие-либо симптомы из указанных ниже, пожалуйста, сообщите об этом вашему лечащему врачу незамедлительно.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Возможные побочные эффекты терапии блокаторами CTLA4 и/или PD1/PD-L1: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- увеличение числа актов дефекации (&gt; 2 в день) или любая диарея в ночное время, любой стул со слизью и кровью;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боль в животе или чувство озноба, а также боль, требующая медицинского вмешательства;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красные болезненные глаза или желтоватая окраска белков глаз, затуманенный взгляд, воспаление или припухлость глаз;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желтая окраска или покраснение кожи, зудящая сыпь, чувствительность кожи к солнечным лучам;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возникновение кашля или одышки;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усталость или сонливость;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затрудненная концентрация внимания или спутанность сознания;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головная боль, боль в теле или в месте опухоли;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лихорадка (повышение температура тела до +38 °C и выше);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внезапное снижение или увеличение массы тела;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возникновение эректильной дисфункции или потеря интереса к интимной жизни.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Пожалуйста, уделите особое внимание любым изменениям в актах дефекации. Записывайте количество актов каждый день. Если у вас диарея, попробуйте ее описать, используя один из нижеприведенных терминов, и определите уровень срочности в вашем конкретном случае: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стул неплотный;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водянистый;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болезненный;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кровянистый;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- слизистый.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Диарея не всегда может проявляться в виде жидкого стула. Увеличение числа актов дефекации в день даже при твердом стуле потенциально может указывать на проблему.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Важно: побочные эффекты могут возникнуть в период от 1 нед. до нескольких месяцев от начала лечения блокаторами CTLA4 и/или PD1/PD-L1. Если у вас возник любой из вышеназванных симптомов, незамедлительно сообщите об этом вашему лечащему врачу или медицинской сестре.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0"/>
      </w:pPr>
      <w:r>
        <w:t>Приложение Г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1"/>
      </w:pPr>
      <w:r>
        <w:t>Приложение Г1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bookmarkStart w:id="75" w:name="P843"/>
      <w:bookmarkEnd w:id="75"/>
      <w:r>
        <w:t>ШКАЛА ОЦЕНКИ ФУНКЦИИ ПЕЧЕНИ ПО ЧАЛД-ПЬЮ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lastRenderedPageBreak/>
        <w:t>Название на русском языке: классификация тяжести цирроза печени по Чалд-Пью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Оригинальное название: Child-Pugh classification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Источник (официальный сайт разработчиков, публикация с валидацией): Cholongitas E.; Papatheodoridis G.V.; Vangeli M.; Terreni N.; Patch D.; Burroughs A.K. (Dec 2005). "Systematic review: The model for end-stage liver disease-should it replace Child-Pugh's classification for assessing prognosis in cirrhosis?". Alimentary Pharmacology &amp; Therapeutics. 22(11 - 12): 1079 - 89. doi:10.1111/j.1365-2036.2005.02691.x. PMID 16305721 </w:t>
      </w:r>
      <w:hyperlink w:anchor="P597">
        <w:r>
          <w:rPr>
            <w:color w:val="0000FF"/>
          </w:rPr>
          <w:t>[86]</w:t>
        </w:r>
      </w:hyperlink>
      <w:r>
        <w:t>. Child C.G., Turcotte J.G. (1964). "Surgery and portal hypertension". In Child CG (ed.). The liver and portal hypertension. Philadelphia: Saunders. pp. 50 - 64 [87]. Pugh R.N., Murray-Lyon I.M., Dawson J.L., Pietroni M.C., Williams R. (1973). "Transection of the oesophagus for bleeding oesophageal varices". The British Journal of Surgery. 60(8): 646 - 9. doi:10.1002/bjs.1800600817. PMID 4541913 [88].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Тип: шкала оценки.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Назначение: определить степень выраженности нарушения функции печени.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Содержание: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1"/>
        <w:gridCol w:w="1871"/>
        <w:gridCol w:w="2211"/>
        <w:gridCol w:w="2098"/>
      </w:tblGrid>
      <w:tr w:rsidR="00261B8C">
        <w:tc>
          <w:tcPr>
            <w:tcW w:w="2891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871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1 балл</w:t>
            </w:r>
          </w:p>
        </w:tc>
        <w:tc>
          <w:tcPr>
            <w:tcW w:w="2211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2 балла</w:t>
            </w:r>
          </w:p>
        </w:tc>
        <w:tc>
          <w:tcPr>
            <w:tcW w:w="2098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3 балла</w:t>
            </w:r>
          </w:p>
        </w:tc>
      </w:tr>
      <w:tr w:rsidR="00261B8C">
        <w:tc>
          <w:tcPr>
            <w:tcW w:w="2891" w:type="dxa"/>
          </w:tcPr>
          <w:p w:rsidR="00261B8C" w:rsidRDefault="00261B8C">
            <w:pPr>
              <w:pStyle w:val="ConsPlusNormal"/>
            </w:pPr>
            <w:r>
              <w:t>Энцефалопатия, степень</w:t>
            </w:r>
          </w:p>
        </w:tc>
        <w:tc>
          <w:tcPr>
            <w:tcW w:w="1871" w:type="dxa"/>
          </w:tcPr>
          <w:p w:rsidR="00261B8C" w:rsidRDefault="00261B8C">
            <w:pPr>
              <w:pStyle w:val="ConsPlusNormal"/>
            </w:pPr>
            <w:r>
              <w:t>Нет</w:t>
            </w:r>
          </w:p>
        </w:tc>
        <w:tc>
          <w:tcPr>
            <w:tcW w:w="2211" w:type="dxa"/>
          </w:tcPr>
          <w:p w:rsidR="00261B8C" w:rsidRDefault="00261B8C">
            <w:pPr>
              <w:pStyle w:val="ConsPlusNormal"/>
            </w:pPr>
            <w:r>
              <w:t>I - II степень (или компенсируется медикаментозно)</w:t>
            </w:r>
          </w:p>
        </w:tc>
        <w:tc>
          <w:tcPr>
            <w:tcW w:w="2098" w:type="dxa"/>
          </w:tcPr>
          <w:p w:rsidR="00261B8C" w:rsidRDefault="00261B8C">
            <w:pPr>
              <w:pStyle w:val="ConsPlusNormal"/>
            </w:pPr>
            <w:r>
              <w:t>III - IV степень (или рефрактерная)</w:t>
            </w:r>
          </w:p>
        </w:tc>
      </w:tr>
      <w:tr w:rsidR="00261B8C">
        <w:tc>
          <w:tcPr>
            <w:tcW w:w="2891" w:type="dxa"/>
          </w:tcPr>
          <w:p w:rsidR="00261B8C" w:rsidRDefault="00261B8C">
            <w:pPr>
              <w:pStyle w:val="ConsPlusNormal"/>
            </w:pPr>
            <w:r>
              <w:t>Асцит</w:t>
            </w:r>
          </w:p>
        </w:tc>
        <w:tc>
          <w:tcPr>
            <w:tcW w:w="1871" w:type="dxa"/>
          </w:tcPr>
          <w:p w:rsidR="00261B8C" w:rsidRDefault="00261B8C">
            <w:pPr>
              <w:pStyle w:val="ConsPlusNormal"/>
            </w:pPr>
            <w:r>
              <w:t>Нет</w:t>
            </w:r>
          </w:p>
        </w:tc>
        <w:tc>
          <w:tcPr>
            <w:tcW w:w="2211" w:type="dxa"/>
          </w:tcPr>
          <w:p w:rsidR="00261B8C" w:rsidRDefault="00261B8C">
            <w:pPr>
              <w:pStyle w:val="ConsPlusNormal"/>
            </w:pPr>
            <w:r>
              <w:t>Незначительный</w:t>
            </w:r>
          </w:p>
        </w:tc>
        <w:tc>
          <w:tcPr>
            <w:tcW w:w="2098" w:type="dxa"/>
          </w:tcPr>
          <w:p w:rsidR="00261B8C" w:rsidRDefault="00261B8C">
            <w:pPr>
              <w:pStyle w:val="ConsPlusNormal"/>
            </w:pPr>
            <w:r>
              <w:t>Умеренный</w:t>
            </w:r>
          </w:p>
        </w:tc>
      </w:tr>
      <w:tr w:rsidR="00261B8C">
        <w:tc>
          <w:tcPr>
            <w:tcW w:w="2891" w:type="dxa"/>
          </w:tcPr>
          <w:p w:rsidR="00261B8C" w:rsidRDefault="00261B8C">
            <w:pPr>
              <w:pStyle w:val="ConsPlusNormal"/>
            </w:pPr>
            <w:r>
              <w:t>Альбумин плазмы, г/дл</w:t>
            </w:r>
          </w:p>
        </w:tc>
        <w:tc>
          <w:tcPr>
            <w:tcW w:w="1871" w:type="dxa"/>
            <w:vAlign w:val="center"/>
          </w:tcPr>
          <w:p w:rsidR="00261B8C" w:rsidRDefault="00261B8C">
            <w:pPr>
              <w:pStyle w:val="ConsPlusNormal"/>
            </w:pPr>
            <w:r>
              <w:t>&gt; 3,5</w:t>
            </w:r>
          </w:p>
        </w:tc>
        <w:tc>
          <w:tcPr>
            <w:tcW w:w="2211" w:type="dxa"/>
            <w:vAlign w:val="center"/>
          </w:tcPr>
          <w:p w:rsidR="00261B8C" w:rsidRDefault="00261B8C">
            <w:pPr>
              <w:pStyle w:val="ConsPlusNormal"/>
            </w:pPr>
            <w:r>
              <w:t>2,8 - 3,5</w:t>
            </w:r>
          </w:p>
        </w:tc>
        <w:tc>
          <w:tcPr>
            <w:tcW w:w="2098" w:type="dxa"/>
            <w:vAlign w:val="center"/>
          </w:tcPr>
          <w:p w:rsidR="00261B8C" w:rsidRDefault="00261B8C">
            <w:pPr>
              <w:pStyle w:val="ConsPlusNormal"/>
            </w:pPr>
            <w:r>
              <w:t>&lt; 2,8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2891" w:type="dxa"/>
            <w:tcBorders>
              <w:bottom w:val="nil"/>
            </w:tcBorders>
          </w:tcPr>
          <w:p w:rsidR="00261B8C" w:rsidRDefault="00261B8C">
            <w:pPr>
              <w:pStyle w:val="ConsPlusNormal"/>
            </w:pPr>
            <w:r>
              <w:t>Протромбиновое время, увеличение (норма 12 - 14 с)</w:t>
            </w:r>
          </w:p>
        </w:tc>
        <w:tc>
          <w:tcPr>
            <w:tcW w:w="1871" w:type="dxa"/>
            <w:tcBorders>
              <w:bottom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на 1 - 4 с</w:t>
            </w:r>
          </w:p>
        </w:tc>
        <w:tc>
          <w:tcPr>
            <w:tcW w:w="2211" w:type="dxa"/>
            <w:tcBorders>
              <w:bottom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на 4 - 6 с</w:t>
            </w:r>
          </w:p>
        </w:tc>
        <w:tc>
          <w:tcPr>
            <w:tcW w:w="2098" w:type="dxa"/>
            <w:tcBorders>
              <w:bottom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более чем на 6 с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B8C" w:rsidRDefault="00261B8C">
            <w:pPr>
              <w:pStyle w:val="ConsPlusNormal"/>
            </w:pPr>
            <w:r>
              <w:t>или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261B8C" w:rsidRDefault="00261B8C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261B8C" w:rsidRDefault="00261B8C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bottom w:val="nil"/>
            </w:tcBorders>
          </w:tcPr>
          <w:p w:rsidR="00261B8C" w:rsidRDefault="00261B8C">
            <w:pPr>
              <w:pStyle w:val="ConsPlusNormal"/>
            </w:pPr>
          </w:p>
        </w:tc>
      </w:tr>
      <w:tr w:rsidR="00261B8C">
        <w:tblPrEx>
          <w:tblBorders>
            <w:insideH w:val="nil"/>
          </w:tblBorders>
        </w:tblPrEx>
        <w:tc>
          <w:tcPr>
            <w:tcW w:w="2891" w:type="dxa"/>
            <w:tcBorders>
              <w:top w:val="nil"/>
            </w:tcBorders>
          </w:tcPr>
          <w:p w:rsidR="00261B8C" w:rsidRDefault="00261B8C">
            <w:pPr>
              <w:pStyle w:val="ConsPlusNormal"/>
            </w:pPr>
            <w:r>
              <w:t>международное нормализованное отношение</w:t>
            </w:r>
          </w:p>
        </w:tc>
        <w:tc>
          <w:tcPr>
            <w:tcW w:w="1871" w:type="dxa"/>
            <w:tcBorders>
              <w:top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&lt; 1,7</w:t>
            </w:r>
          </w:p>
        </w:tc>
        <w:tc>
          <w:tcPr>
            <w:tcW w:w="2211" w:type="dxa"/>
            <w:tcBorders>
              <w:top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1,7 - 2,3</w:t>
            </w:r>
          </w:p>
        </w:tc>
        <w:tc>
          <w:tcPr>
            <w:tcW w:w="2098" w:type="dxa"/>
            <w:tcBorders>
              <w:top w:val="nil"/>
            </w:tcBorders>
            <w:vAlign w:val="bottom"/>
          </w:tcPr>
          <w:p w:rsidR="00261B8C" w:rsidRDefault="00261B8C">
            <w:pPr>
              <w:pStyle w:val="ConsPlusNormal"/>
            </w:pPr>
            <w:r>
              <w:t>&gt; 2,3</w:t>
            </w:r>
          </w:p>
        </w:tc>
      </w:tr>
      <w:tr w:rsidR="00261B8C">
        <w:tc>
          <w:tcPr>
            <w:tcW w:w="2891" w:type="dxa"/>
          </w:tcPr>
          <w:p w:rsidR="00261B8C" w:rsidRDefault="00261B8C">
            <w:pPr>
              <w:pStyle w:val="ConsPlusNormal"/>
            </w:pPr>
            <w:r>
              <w:t>Билирубин, мг/дл (мкмоль/л)</w:t>
            </w:r>
          </w:p>
        </w:tc>
        <w:tc>
          <w:tcPr>
            <w:tcW w:w="1871" w:type="dxa"/>
            <w:vAlign w:val="center"/>
          </w:tcPr>
          <w:p w:rsidR="00261B8C" w:rsidRDefault="00261B8C">
            <w:pPr>
              <w:pStyle w:val="ConsPlusNormal"/>
            </w:pPr>
            <w:r>
              <w:t>1 - 2 (&lt; 34,2)</w:t>
            </w:r>
          </w:p>
        </w:tc>
        <w:tc>
          <w:tcPr>
            <w:tcW w:w="2211" w:type="dxa"/>
            <w:vAlign w:val="center"/>
          </w:tcPr>
          <w:p w:rsidR="00261B8C" w:rsidRDefault="00261B8C">
            <w:pPr>
              <w:pStyle w:val="ConsPlusNormal"/>
            </w:pPr>
            <w:r>
              <w:t>2 - 3 (34,2 - 51,3)</w:t>
            </w:r>
          </w:p>
        </w:tc>
        <w:tc>
          <w:tcPr>
            <w:tcW w:w="2098" w:type="dxa"/>
            <w:vAlign w:val="center"/>
          </w:tcPr>
          <w:p w:rsidR="00261B8C" w:rsidRDefault="00261B8C">
            <w:pPr>
              <w:pStyle w:val="ConsPlusNormal"/>
            </w:pPr>
            <w:r>
              <w:t>&gt; 3 мг/дл (&gt; 51,3)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Пояснения: хроническое поражение (нарушение функции) печени классифицируется как Child-Pugh класса A, B или C, в зависимости от суммы баллов, полученных для каждого параметра. Класс A: 5 - 6 баллов, класс B: 7 - 9 баллов и класс C: 10 - 15 баллов.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1"/>
      </w:pPr>
      <w:r>
        <w:t>Приложение Г2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bookmarkStart w:id="76" w:name="P893"/>
      <w:bookmarkEnd w:id="76"/>
      <w:r>
        <w:t>ШКАЛА ОЦЕНКИ ТЯЖЕСТИ СОСТОЯНИЯ ПАЦИЕНТА ПО ВЕРСИИ ВОЗ/ECOG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 xml:space="preserve">Название на русском языке: Шкала оценки тяжести состояния пациента по версии </w:t>
      </w:r>
      <w:r>
        <w:lastRenderedPageBreak/>
        <w:t>ВОЗ/ECOG.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Оригинальное название: The Eastern Cooperative Oncology Group/World Health Organization Performance Status (ECOG/WHO PS).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Источник (официальный сайт разработчиков, публикация с валидацией): https://ecog-acrin.org/resources/ecog-performance-status.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 xml:space="preserve">Oken M.M., Creech R.H., Tormey D.C. et al. Toxicity and response criteria of the East-ern Cooperative Oncology Group. Am J Clin Oncol 1982; 5(6): 649 - 55 </w:t>
      </w:r>
      <w:hyperlink w:anchor="P583">
        <w:r>
          <w:rPr>
            <w:color w:val="0000FF"/>
          </w:rPr>
          <w:t>[72]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Тип: шкала оценки.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Назначение: описать уровень функционирования пациента с точки зрения его способности заботиться о себе, повседневной активности и физических способностях (ходьба, работа и т.д.).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Содержание: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1"/>
        <w:gridCol w:w="7880"/>
      </w:tblGrid>
      <w:tr w:rsidR="00261B8C">
        <w:tc>
          <w:tcPr>
            <w:tcW w:w="1191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Балл</w:t>
            </w:r>
          </w:p>
        </w:tc>
        <w:tc>
          <w:tcPr>
            <w:tcW w:w="7880" w:type="dxa"/>
            <w:vAlign w:val="center"/>
          </w:tcPr>
          <w:p w:rsidR="00261B8C" w:rsidRDefault="00261B8C">
            <w:pPr>
              <w:pStyle w:val="ConsPlusNormal"/>
              <w:jc w:val="center"/>
            </w:pPr>
            <w:r>
              <w:t>Описание</w:t>
            </w:r>
          </w:p>
        </w:tc>
      </w:tr>
      <w:tr w:rsidR="00261B8C">
        <w:tc>
          <w:tcPr>
            <w:tcW w:w="1191" w:type="dxa"/>
          </w:tcPr>
          <w:p w:rsidR="00261B8C" w:rsidRDefault="00261B8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880" w:type="dxa"/>
          </w:tcPr>
          <w:p w:rsidR="00261B8C" w:rsidRDefault="00261B8C">
            <w:pPr>
              <w:pStyle w:val="ConsPlusNormal"/>
            </w:pPr>
            <w:r>
              <w:t>Пациент полностью активен, способен выполнять все действия так же, как и до заболевания (90 - 100% по шкале Карновского)</w:t>
            </w:r>
          </w:p>
        </w:tc>
      </w:tr>
      <w:tr w:rsidR="00261B8C">
        <w:tc>
          <w:tcPr>
            <w:tcW w:w="1191" w:type="dxa"/>
          </w:tcPr>
          <w:p w:rsidR="00261B8C" w:rsidRDefault="00261B8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80" w:type="dxa"/>
          </w:tcPr>
          <w:p w:rsidR="00261B8C" w:rsidRDefault="00261B8C">
            <w:pPr>
              <w:pStyle w:val="ConsPlusNormal"/>
            </w:pPr>
            <w:r>
              <w:t>Пациент неспособен выполнять тяжелую, но может выполнять легкую или сидячую работу (например, легкую домашнюю или канцелярскую работу, 70 - 80% по шкале Карновского)</w:t>
            </w:r>
          </w:p>
        </w:tc>
      </w:tr>
      <w:tr w:rsidR="00261B8C">
        <w:tc>
          <w:tcPr>
            <w:tcW w:w="1191" w:type="dxa"/>
          </w:tcPr>
          <w:p w:rsidR="00261B8C" w:rsidRDefault="00261B8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880" w:type="dxa"/>
          </w:tcPr>
          <w:p w:rsidR="00261B8C" w:rsidRDefault="00261B8C">
            <w:pPr>
              <w:pStyle w:val="ConsPlusNormal"/>
            </w:pPr>
            <w:r>
              <w:t>Пациент лечится амбулаторно, способен к самообслуживанию, но не может выполнять работу. Более 50% времени бодрствования проводит активно - в вертикальном положении (50 - 60% по шкале Карновского)</w:t>
            </w:r>
          </w:p>
        </w:tc>
      </w:tr>
      <w:tr w:rsidR="00261B8C">
        <w:tc>
          <w:tcPr>
            <w:tcW w:w="1191" w:type="dxa"/>
          </w:tcPr>
          <w:p w:rsidR="00261B8C" w:rsidRDefault="00261B8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880" w:type="dxa"/>
          </w:tcPr>
          <w:p w:rsidR="00261B8C" w:rsidRDefault="00261B8C">
            <w:pPr>
              <w:pStyle w:val="ConsPlusNormal"/>
            </w:pPr>
            <w:r>
              <w:t>Пациент способен лишь к ограниченному самообслуживанию, проводит в кресле или постели более 50% времени бодрствования (30 - 40% по шкале Карновского)</w:t>
            </w:r>
          </w:p>
        </w:tc>
      </w:tr>
      <w:tr w:rsidR="00261B8C">
        <w:tc>
          <w:tcPr>
            <w:tcW w:w="1191" w:type="dxa"/>
          </w:tcPr>
          <w:p w:rsidR="00261B8C" w:rsidRDefault="00261B8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880" w:type="dxa"/>
          </w:tcPr>
          <w:p w:rsidR="00261B8C" w:rsidRDefault="00261B8C">
            <w:pPr>
              <w:pStyle w:val="ConsPlusNormal"/>
            </w:pPr>
            <w:r>
              <w:t>Инвалид, совершенно не способен к самообслуживанию, прикован к креслу или постели (10 - 20% по шкале Карновского)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Примечание. Ключ (интерпретация) приведен в самой шкале.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1"/>
      </w:pPr>
      <w:r>
        <w:t>Приложение Г3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r>
        <w:t>ШКАЛА КАРНОВСКОГО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Название на русском языке: Шкала Карновского.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Оригинальное название (если есть): KARNOFSKY PERFORMANCE STATUS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Оригинальное название (если есть): Karnofsky Performance Status.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Оригинальная</w:t>
      </w:r>
      <w:r w:rsidRPr="00261B8C">
        <w:rPr>
          <w:lang w:val="en-US"/>
        </w:rPr>
        <w:t xml:space="preserve"> </w:t>
      </w:r>
      <w:r>
        <w:t>публикация</w:t>
      </w:r>
      <w:r w:rsidRPr="00261B8C">
        <w:rPr>
          <w:lang w:val="en-US"/>
        </w:rPr>
        <w:t xml:space="preserve">: Karnofsky D.A., Burchenal J.H. The clinical evaluation of chemotherapeutic agents in cancer. In: Evaluation of chemotherapeutic agents. Ed. by C. MacLeod. New York: Columbia University Press, 1949. </w:t>
      </w:r>
      <w:r>
        <w:t xml:space="preserve">Pp. 191 - 205 </w:t>
      </w:r>
      <w:hyperlink w:anchor="P584">
        <w:r>
          <w:rPr>
            <w:color w:val="0000FF"/>
          </w:rPr>
          <w:t>[73]</w:t>
        </w:r>
      </w:hyperlink>
      <w:r>
        <w:t>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>Тип: шкала оценки.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Назначение: описать уровень функционирования пациента с точки зрения его способности заботиться о себе, повседневной активности и физических способностях (ходьба, работа и т.д.).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Содержание (шаблон):</w:t>
      </w:r>
    </w:p>
    <w:p w:rsidR="00261B8C" w:rsidRDefault="00261B8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71"/>
      </w:tblGrid>
      <w:tr w:rsidR="00261B8C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Шкала Карновского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100 - Состояние нормальное, жалоб нет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90 - Способен к нормальной деятельности, незначительные симптомы или признаки заболевания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80 - Нормальная активность с усилием, незначительные симптомы или признаки заболевания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70 - Обслуживает себя самостоятельно, не способен к нормальной деятельности или активной работе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60 - Нуждается порой в помощи, но способен сам удовлетворять большую часть своих потребностей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50 - Нуждается в значительной помощи и медицинском обслуживании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40 - Инвалид, нуждается в специальной помощи, в том числе медицинской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30 - Тяжелая инвалидность, показана госпитализация, хотя смерть непосредственно не угрожает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20 - Тяжелый пациент. Необходимы госпитализация и активное лечение</w:t>
            </w:r>
          </w:p>
        </w:tc>
      </w:tr>
      <w:tr w:rsidR="00261B8C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10 - Умирающий</w:t>
            </w:r>
          </w:p>
        </w:tc>
      </w:tr>
      <w:tr w:rsidR="00261B8C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261B8C" w:rsidRDefault="00261B8C">
            <w:pPr>
              <w:pStyle w:val="ConsPlusNormal"/>
            </w:pPr>
            <w:r>
              <w:t>0 - Смерть</w:t>
            </w:r>
          </w:p>
        </w:tc>
      </w:tr>
    </w:tbl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Примечание. Ключ (интерпретация) приведен в самой шкале.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jc w:val="right"/>
        <w:outlineLvl w:val="1"/>
      </w:pPr>
      <w:r>
        <w:t>Приложение Г4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Title"/>
        <w:jc w:val="center"/>
      </w:pPr>
      <w:bookmarkStart w:id="77" w:name="P955"/>
      <w:bookmarkEnd w:id="77"/>
      <w:r>
        <w:t>КРИТЕРИИ ОЦЕНКИ ОТВЕТА ОПУХОЛИ НА ЛЕЧЕНИЕ (RECIST 1.1)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  <w:r>
        <w:t>Название на русском языке: Критерии оценки ответа опухоли на химиотерапевтическое лечение (RECIST 1.1).</w:t>
      </w:r>
    </w:p>
    <w:p w:rsidR="00261B8C" w:rsidRPr="00261B8C" w:rsidRDefault="00261B8C">
      <w:pPr>
        <w:pStyle w:val="ConsPlusNormal"/>
        <w:spacing w:before="220"/>
        <w:ind w:firstLine="540"/>
        <w:jc w:val="both"/>
        <w:rPr>
          <w:lang w:val="en-US"/>
        </w:rPr>
      </w:pPr>
      <w:r>
        <w:t>Оригинальное</w:t>
      </w:r>
      <w:r w:rsidRPr="00261B8C">
        <w:rPr>
          <w:lang w:val="en-US"/>
        </w:rPr>
        <w:t xml:space="preserve"> </w:t>
      </w:r>
      <w:r>
        <w:t>название</w:t>
      </w:r>
      <w:r w:rsidRPr="00261B8C">
        <w:rPr>
          <w:lang w:val="en-US"/>
        </w:rPr>
        <w:t xml:space="preserve"> (</w:t>
      </w:r>
      <w:r>
        <w:t>если</w:t>
      </w:r>
      <w:r w:rsidRPr="00261B8C">
        <w:rPr>
          <w:lang w:val="en-US"/>
        </w:rPr>
        <w:t xml:space="preserve"> </w:t>
      </w:r>
      <w:r>
        <w:t>есть</w:t>
      </w:r>
      <w:r w:rsidRPr="00261B8C">
        <w:rPr>
          <w:lang w:val="en-US"/>
        </w:rPr>
        <w:t>): Response Evaluation Criteria in Solid Tumors 1.1.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Оригинальная</w:t>
      </w:r>
      <w:r w:rsidRPr="00261B8C">
        <w:rPr>
          <w:lang w:val="en-US"/>
        </w:rPr>
        <w:t xml:space="preserve"> </w:t>
      </w:r>
      <w:r>
        <w:t>публикация</w:t>
      </w:r>
      <w:r w:rsidRPr="00261B8C">
        <w:rPr>
          <w:lang w:val="en-US"/>
        </w:rPr>
        <w:t xml:space="preserve">: Eisenhauer E.A., Therasse P., Bogaerts J., Schwartz L.H., Sargent D., Ford R., Dancey J., Arbuck S., Gwyther S., Mooney M. et al. New response evaluation criteria in solid tumours: revised RECIST guideline (version 1.1). </w:t>
      </w:r>
      <w:r>
        <w:t>Eur J Cancer 2009; 45(2): 228 - 47.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Тип: шкала оценки.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t>Назначение: оценка ответа на химиотерапевтическое лечение.</w:t>
      </w:r>
    </w:p>
    <w:p w:rsidR="00261B8C" w:rsidRDefault="00261B8C">
      <w:pPr>
        <w:pStyle w:val="ConsPlusNormal"/>
        <w:spacing w:before="220"/>
        <w:ind w:firstLine="540"/>
        <w:jc w:val="both"/>
      </w:pPr>
      <w:r>
        <w:lastRenderedPageBreak/>
        <w:t xml:space="preserve">Содержание, ключ и шаблон на русском языке представлены в методических рекомендациях N 46 ГБУЗ "Научно-практический центр медицинской радиологии" Департамента здравоохранения города Москвы и доступны на веб-сайте http://medradiology.moscow/d/1364488/d/no46_2018_recist_11.pdf </w:t>
      </w:r>
      <w:hyperlink w:anchor="P585">
        <w:r>
          <w:rPr>
            <w:color w:val="0000FF"/>
          </w:rPr>
          <w:t>[74]</w:t>
        </w:r>
      </w:hyperlink>
      <w:r>
        <w:t>. Данный документ является собственностью Департамента здравоохранения города Москвы, не подлежит тиражированию и распространению без соответствующего разрешения.</w:t>
      </w: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ind w:firstLine="540"/>
        <w:jc w:val="both"/>
      </w:pPr>
    </w:p>
    <w:p w:rsidR="00261B8C" w:rsidRDefault="00261B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05CF" w:rsidRDefault="000E05CF"/>
    <w:sectPr w:rsidR="000E05CF" w:rsidSect="00CA5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61B8C"/>
    <w:rsid w:val="000E05CF"/>
    <w:rsid w:val="0026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B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61B8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61B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61B8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61B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61B8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61B8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61B8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FC2FFEA05F7805999CCFB074663C58C8F21A16C3EEB195B1624C12A85E95DD21796D8A394EBEF6E03D650BFB18C81880CC690F2F388113cB11J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EFC2FFEA05F7805999CCFB074663C58C8F21A16C3EEB195B1624C12A85E95DD21796D8A3A49B8F5E13D650BFB18C81880CC690F2F388113cB11J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1EFC2FFEA05F7805999CCFB074663C58C8F21A16C3EEB195B1624C12A85E95DD21796D8A3A49B8F5E13D650BFB18C81880CC690F2F388113cB11J" TargetMode="External"/><Relationship Id="rId11" Type="http://schemas.openxmlformats.org/officeDocument/2006/relationships/image" Target="media/image3.wmf"/><Relationship Id="rId5" Type="http://schemas.openxmlformats.org/officeDocument/2006/relationships/hyperlink" Target="consultantplus://offline/ref=94D458FFC4EC65192A86996B5D3584863495347A1A5509B88F6369ACCE133BE59848E7B822E045FC7AEE73D396E76F1C87E0922E6F6D65FEb916J" TargetMode="External"/><Relationship Id="rId15" Type="http://schemas.openxmlformats.org/officeDocument/2006/relationships/image" Target="media/image6.wmf"/><Relationship Id="rId10" Type="http://schemas.openxmlformats.org/officeDocument/2006/relationships/image" Target="media/image2.wmf"/><Relationship Id="rId19" Type="http://schemas.openxmlformats.org/officeDocument/2006/relationships/image" Target="media/image10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1EFC2FFEA05F7805999CC6A973663C58CBF11E19CDE9B195B1624C12A85E95DD337935863A4FA1F1E528335ABDc41E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17058</Words>
  <Characters>97234</Characters>
  <Application>Microsoft Office Word</Application>
  <DocSecurity>0</DocSecurity>
  <Lines>810</Lines>
  <Paragraphs>228</Paragraphs>
  <ScaleCrop>false</ScaleCrop>
  <Company/>
  <LinksUpToDate>false</LinksUpToDate>
  <CharactersWithSpaces>114064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Babanova</dc:creator>
  <cp:lastModifiedBy>Babanova</cp:lastModifiedBy>
  <cp:revision>1</cp:revision>
  <dcterms:created xsi:type="dcterms:W3CDTF">2023-12-07T09:53:00Z</dcterms:created>
  <dcterms:modified xsi:type="dcterms:W3CDTF">2023-12-07T09:53:00Z</dcterms:modified>
</cp:coreProperties>
</file>